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C91D9" w14:textId="19A9AAFE" w:rsidR="007A3625" w:rsidRPr="007A3625" w:rsidRDefault="007A3625" w:rsidP="007A3625">
      <w:pPr>
        <w:jc w:val="center"/>
        <w:rPr>
          <w:rFonts w:ascii="Arial" w:hAnsi="Arial" w:cs="Arial"/>
          <w:b/>
          <w:bCs/>
        </w:rPr>
      </w:pPr>
      <w:r w:rsidRPr="007A3625">
        <w:rPr>
          <w:rFonts w:ascii="Arial" w:hAnsi="Arial" w:cs="Arial"/>
          <w:b/>
          <w:bCs/>
        </w:rPr>
        <w:t>Leistungsbeschreibung</w:t>
      </w:r>
    </w:p>
    <w:p w14:paraId="3C6E5B0C" w14:textId="09AAB5C2" w:rsidR="007A3625" w:rsidRPr="007A3625" w:rsidRDefault="007A3625" w:rsidP="001C4A46">
      <w:pPr>
        <w:spacing w:after="0" w:line="240" w:lineRule="auto"/>
        <w:rPr>
          <w:rFonts w:ascii="Arial" w:hAnsi="Arial" w:cs="Arial"/>
          <w:sz w:val="22"/>
          <w:szCs w:val="22"/>
        </w:rPr>
      </w:pPr>
      <w:r w:rsidRPr="007A3625">
        <w:rPr>
          <w:rFonts w:ascii="Arial" w:hAnsi="Arial" w:cs="Arial"/>
          <w:sz w:val="22"/>
          <w:szCs w:val="22"/>
        </w:rPr>
        <w:t>Maßnahme: </w:t>
      </w:r>
      <w:r>
        <w:rPr>
          <w:rFonts w:ascii="Arial" w:hAnsi="Arial" w:cs="Arial"/>
          <w:sz w:val="22"/>
          <w:szCs w:val="22"/>
        </w:rPr>
        <w:tab/>
      </w:r>
      <w:r w:rsidRPr="007A3625">
        <w:rPr>
          <w:rFonts w:ascii="Arial" w:hAnsi="Arial" w:cs="Arial"/>
          <w:sz w:val="22"/>
          <w:szCs w:val="22"/>
        </w:rPr>
        <w:t>Ausbau der „Kastanienallee“ in der Ortsgemeinde Siershahn</w:t>
      </w:r>
      <w:r w:rsidRPr="007A3625">
        <w:rPr>
          <w:rFonts w:ascii="Arial" w:hAnsi="Arial" w:cs="Arial"/>
          <w:sz w:val="22"/>
          <w:szCs w:val="22"/>
        </w:rPr>
        <w:br/>
        <w:t>Leistung: </w:t>
      </w:r>
      <w:r>
        <w:rPr>
          <w:rFonts w:ascii="Arial" w:hAnsi="Arial" w:cs="Arial"/>
          <w:sz w:val="22"/>
          <w:szCs w:val="22"/>
        </w:rPr>
        <w:tab/>
      </w:r>
      <w:r w:rsidRPr="007A3625">
        <w:rPr>
          <w:rFonts w:ascii="Arial" w:hAnsi="Arial" w:cs="Arial"/>
          <w:sz w:val="22"/>
          <w:szCs w:val="22"/>
        </w:rPr>
        <w:t>Planungsleistung gemäß HOAI für</w:t>
      </w:r>
    </w:p>
    <w:p w14:paraId="70A7A204" w14:textId="5C5ACD11" w:rsidR="007A3625" w:rsidRPr="007A3625" w:rsidRDefault="007A3625" w:rsidP="001C4A46">
      <w:pPr>
        <w:numPr>
          <w:ilvl w:val="0"/>
          <w:numId w:val="1"/>
        </w:numPr>
        <w:tabs>
          <w:tab w:val="num" w:pos="720"/>
        </w:tabs>
        <w:spacing w:after="0" w:line="240" w:lineRule="auto"/>
        <w:ind w:left="1775" w:hanging="357"/>
        <w:rPr>
          <w:rFonts w:ascii="Arial" w:hAnsi="Arial" w:cs="Arial"/>
          <w:sz w:val="22"/>
          <w:szCs w:val="22"/>
        </w:rPr>
      </w:pPr>
      <w:r w:rsidRPr="007A3625">
        <w:rPr>
          <w:rFonts w:ascii="Arial" w:hAnsi="Arial" w:cs="Arial"/>
          <w:sz w:val="22"/>
          <w:szCs w:val="22"/>
        </w:rPr>
        <w:t>Verkehrsanlagen LPH 3</w:t>
      </w:r>
      <w:r w:rsidR="00270FD3">
        <w:rPr>
          <w:rFonts w:ascii="Arial" w:hAnsi="Arial" w:cs="Arial"/>
          <w:sz w:val="22"/>
          <w:szCs w:val="22"/>
        </w:rPr>
        <w:t>, 5</w:t>
      </w:r>
      <w:r w:rsidRPr="007A3625">
        <w:rPr>
          <w:rFonts w:ascii="Arial" w:hAnsi="Arial" w:cs="Arial"/>
          <w:sz w:val="22"/>
          <w:szCs w:val="22"/>
        </w:rPr>
        <w:t>-9</w:t>
      </w:r>
      <w:r w:rsidR="002E00A8">
        <w:rPr>
          <w:rFonts w:ascii="Arial" w:hAnsi="Arial" w:cs="Arial"/>
          <w:sz w:val="22"/>
          <w:szCs w:val="22"/>
        </w:rPr>
        <w:tab/>
      </w:r>
      <w:r w:rsidRPr="007A3625">
        <w:rPr>
          <w:rFonts w:ascii="Arial" w:hAnsi="Arial" w:cs="Arial"/>
          <w:sz w:val="22"/>
          <w:szCs w:val="22"/>
        </w:rPr>
        <w:t>Auftraggeber Ortsgemeinde Siershahn</w:t>
      </w:r>
    </w:p>
    <w:p w14:paraId="69FF584E" w14:textId="7A036187" w:rsidR="007A3625" w:rsidRPr="007A3625" w:rsidRDefault="007A3625" w:rsidP="001C4A46">
      <w:pPr>
        <w:numPr>
          <w:ilvl w:val="0"/>
          <w:numId w:val="1"/>
        </w:numPr>
        <w:tabs>
          <w:tab w:val="num" w:pos="720"/>
        </w:tabs>
        <w:spacing w:after="0" w:line="240" w:lineRule="auto"/>
        <w:ind w:left="1775" w:hanging="357"/>
        <w:rPr>
          <w:rFonts w:ascii="Arial" w:hAnsi="Arial" w:cs="Arial"/>
          <w:sz w:val="22"/>
          <w:szCs w:val="22"/>
        </w:rPr>
      </w:pPr>
      <w:r w:rsidRPr="007A3625">
        <w:rPr>
          <w:rFonts w:ascii="Arial" w:hAnsi="Arial" w:cs="Arial"/>
          <w:sz w:val="22"/>
          <w:szCs w:val="22"/>
        </w:rPr>
        <w:t>Kanalbau LPH 3</w:t>
      </w:r>
      <w:r w:rsidR="00270FD3">
        <w:rPr>
          <w:rFonts w:ascii="Arial" w:hAnsi="Arial" w:cs="Arial"/>
          <w:sz w:val="22"/>
          <w:szCs w:val="22"/>
        </w:rPr>
        <w:t>, 5</w:t>
      </w:r>
      <w:r w:rsidRPr="007A3625">
        <w:rPr>
          <w:rFonts w:ascii="Arial" w:hAnsi="Arial" w:cs="Arial"/>
          <w:sz w:val="22"/>
          <w:szCs w:val="22"/>
        </w:rPr>
        <w:t>-9</w:t>
      </w:r>
      <w:r w:rsidR="002E00A8">
        <w:rPr>
          <w:rFonts w:ascii="Arial" w:hAnsi="Arial" w:cs="Arial"/>
          <w:sz w:val="22"/>
          <w:szCs w:val="22"/>
        </w:rPr>
        <w:tab/>
      </w:r>
      <w:r w:rsidR="002E00A8">
        <w:rPr>
          <w:rFonts w:ascii="Arial" w:hAnsi="Arial" w:cs="Arial"/>
          <w:sz w:val="22"/>
          <w:szCs w:val="22"/>
        </w:rPr>
        <w:tab/>
      </w:r>
      <w:r w:rsidRPr="007A3625">
        <w:rPr>
          <w:rFonts w:ascii="Arial" w:hAnsi="Arial" w:cs="Arial"/>
          <w:sz w:val="22"/>
          <w:szCs w:val="22"/>
        </w:rPr>
        <w:t>Auftraggeber VG-Werke Wirges</w:t>
      </w:r>
    </w:p>
    <w:p w14:paraId="03EB9510" w14:textId="705A9385" w:rsidR="007A3625" w:rsidRDefault="007A3625" w:rsidP="001C4A46">
      <w:pPr>
        <w:numPr>
          <w:ilvl w:val="0"/>
          <w:numId w:val="1"/>
        </w:numPr>
        <w:tabs>
          <w:tab w:val="num" w:pos="720"/>
        </w:tabs>
        <w:spacing w:after="0" w:line="240" w:lineRule="auto"/>
        <w:ind w:left="1775" w:hanging="357"/>
        <w:rPr>
          <w:rFonts w:ascii="Arial" w:hAnsi="Arial" w:cs="Arial"/>
          <w:sz w:val="22"/>
          <w:szCs w:val="22"/>
        </w:rPr>
      </w:pPr>
      <w:r w:rsidRPr="007A3625">
        <w:rPr>
          <w:rFonts w:ascii="Arial" w:hAnsi="Arial" w:cs="Arial"/>
          <w:sz w:val="22"/>
          <w:szCs w:val="22"/>
        </w:rPr>
        <w:t>Wasserleitungsbau LPH 3</w:t>
      </w:r>
      <w:r w:rsidR="00270FD3">
        <w:rPr>
          <w:rFonts w:ascii="Arial" w:hAnsi="Arial" w:cs="Arial"/>
          <w:sz w:val="22"/>
          <w:szCs w:val="22"/>
        </w:rPr>
        <w:t>, 5-</w:t>
      </w:r>
      <w:r w:rsidRPr="007A3625">
        <w:rPr>
          <w:rFonts w:ascii="Arial" w:hAnsi="Arial" w:cs="Arial"/>
          <w:sz w:val="22"/>
          <w:szCs w:val="22"/>
        </w:rPr>
        <w:t>9</w:t>
      </w:r>
      <w:r w:rsidR="002E00A8">
        <w:rPr>
          <w:rFonts w:ascii="Arial" w:hAnsi="Arial" w:cs="Arial"/>
          <w:sz w:val="22"/>
          <w:szCs w:val="22"/>
        </w:rPr>
        <w:tab/>
      </w:r>
      <w:r w:rsidRPr="007A3625">
        <w:rPr>
          <w:rFonts w:ascii="Arial" w:hAnsi="Arial" w:cs="Arial"/>
          <w:sz w:val="22"/>
          <w:szCs w:val="22"/>
        </w:rPr>
        <w:t>Auftraggeber VG-Werke Wirges</w:t>
      </w:r>
    </w:p>
    <w:p w14:paraId="17072C03" w14:textId="77777777" w:rsidR="002E00A8" w:rsidRPr="007A3625" w:rsidRDefault="002E00A8" w:rsidP="001C4A46">
      <w:pPr>
        <w:spacing w:after="0" w:line="240" w:lineRule="auto"/>
        <w:ind w:left="1775"/>
        <w:rPr>
          <w:rFonts w:ascii="Arial" w:hAnsi="Arial" w:cs="Arial"/>
          <w:sz w:val="22"/>
          <w:szCs w:val="22"/>
        </w:rPr>
      </w:pPr>
    </w:p>
    <w:p w14:paraId="7FC2296D" w14:textId="77777777" w:rsidR="007A3625" w:rsidRPr="007A3625" w:rsidRDefault="007A3625" w:rsidP="001C4A46">
      <w:pPr>
        <w:spacing w:after="0" w:line="240" w:lineRule="auto"/>
        <w:rPr>
          <w:rFonts w:ascii="Arial" w:hAnsi="Arial" w:cs="Arial"/>
          <w:sz w:val="22"/>
          <w:szCs w:val="22"/>
        </w:rPr>
      </w:pPr>
      <w:r w:rsidRPr="007A3625">
        <w:rPr>
          <w:rFonts w:ascii="Arial" w:hAnsi="Arial" w:cs="Arial"/>
          <w:b/>
          <w:bCs/>
          <w:sz w:val="22"/>
          <w:szCs w:val="22"/>
          <w:highlight w:val="yellow"/>
        </w:rPr>
        <w:t>Vergabenummer:</w:t>
      </w:r>
      <w:r w:rsidRPr="007A3625">
        <w:rPr>
          <w:rFonts w:ascii="Arial" w:hAnsi="Arial" w:cs="Arial"/>
          <w:sz w:val="22"/>
          <w:szCs w:val="22"/>
          <w:highlight w:val="yellow"/>
        </w:rPr>
        <w:t> XXXXXXX</w:t>
      </w:r>
    </w:p>
    <w:p w14:paraId="56BC37A7" w14:textId="77777777" w:rsidR="007A3625" w:rsidRDefault="007A3625" w:rsidP="001C4A46">
      <w:pPr>
        <w:spacing w:after="0" w:line="240" w:lineRule="auto"/>
        <w:rPr>
          <w:rFonts w:ascii="Arial" w:hAnsi="Arial" w:cs="Arial"/>
          <w:sz w:val="22"/>
          <w:szCs w:val="22"/>
        </w:rPr>
      </w:pPr>
      <w:r w:rsidRPr="007A3625">
        <w:rPr>
          <w:rFonts w:ascii="Arial" w:hAnsi="Arial" w:cs="Arial"/>
          <w:sz w:val="22"/>
          <w:szCs w:val="22"/>
        </w:rPr>
        <w:t>Die Verbandsgemeindeverwaltung Wirges schreibt die Planungsleistungen für die Ausbaumaßnahme „Kastanienallee“ in der Ortsgemeinde Siershahn aus.</w:t>
      </w:r>
    </w:p>
    <w:p w14:paraId="09E24737" w14:textId="77777777" w:rsidR="001C4A46" w:rsidRDefault="001C4A46" w:rsidP="001C4A46">
      <w:pPr>
        <w:spacing w:after="0" w:line="240" w:lineRule="auto"/>
        <w:rPr>
          <w:rFonts w:ascii="Arial" w:hAnsi="Arial" w:cs="Arial"/>
          <w:sz w:val="22"/>
          <w:szCs w:val="22"/>
        </w:rPr>
      </w:pPr>
    </w:p>
    <w:p w14:paraId="57D402D7" w14:textId="39EC4054" w:rsidR="00C42546" w:rsidRDefault="00C42546" w:rsidP="001C4A46">
      <w:pPr>
        <w:spacing w:after="0" w:line="240" w:lineRule="auto"/>
        <w:rPr>
          <w:rFonts w:ascii="Arial" w:hAnsi="Arial" w:cs="Arial"/>
          <w:sz w:val="22"/>
          <w:szCs w:val="22"/>
        </w:rPr>
      </w:pPr>
      <w:r>
        <w:rPr>
          <w:rFonts w:ascii="Arial" w:hAnsi="Arial" w:cs="Arial"/>
          <w:sz w:val="22"/>
          <w:szCs w:val="22"/>
        </w:rPr>
        <w:t>Der Planungsbereich stellt sich wie folgt dar:</w:t>
      </w:r>
    </w:p>
    <w:p w14:paraId="4E279FB7" w14:textId="71D49E95" w:rsidR="00C42546" w:rsidRPr="007A3625" w:rsidRDefault="00494ADE" w:rsidP="007A3625">
      <w:pPr>
        <w:rPr>
          <w:rFonts w:ascii="Arial" w:hAnsi="Arial" w:cs="Arial"/>
          <w:sz w:val="22"/>
          <w:szCs w:val="22"/>
        </w:rPr>
      </w:pPr>
      <w:r w:rsidRPr="00494ADE">
        <w:rPr>
          <w:rFonts w:ascii="Arial" w:hAnsi="Arial" w:cs="Arial"/>
          <w:noProof/>
          <w:sz w:val="22"/>
          <w:szCs w:val="22"/>
        </w:rPr>
        <w:drawing>
          <wp:inline distT="0" distB="0" distL="0" distR="0" wp14:anchorId="04D4BDDB" wp14:editId="543E8B95">
            <wp:extent cx="5760720" cy="3942715"/>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3942715"/>
                    </a:xfrm>
                    <a:prstGeom prst="rect">
                      <a:avLst/>
                    </a:prstGeom>
                  </pic:spPr>
                </pic:pic>
              </a:graphicData>
            </a:graphic>
          </wp:inline>
        </w:drawing>
      </w:r>
    </w:p>
    <w:p w14:paraId="1C5883C6" w14:textId="77777777" w:rsidR="007A3625" w:rsidRPr="007A3625" w:rsidRDefault="007A3625" w:rsidP="001C4A46">
      <w:pPr>
        <w:spacing w:after="0" w:line="240" w:lineRule="auto"/>
        <w:jc w:val="both"/>
        <w:rPr>
          <w:rFonts w:ascii="Arial" w:hAnsi="Arial" w:cs="Arial"/>
          <w:sz w:val="22"/>
          <w:szCs w:val="22"/>
        </w:rPr>
      </w:pPr>
      <w:r w:rsidRPr="007A3625">
        <w:rPr>
          <w:rFonts w:ascii="Arial" w:hAnsi="Arial" w:cs="Arial"/>
          <w:b/>
          <w:bCs/>
          <w:sz w:val="22"/>
          <w:szCs w:val="22"/>
        </w:rPr>
        <w:t>Geplante Gewerke:</w:t>
      </w:r>
    </w:p>
    <w:p w14:paraId="0AC410A2" w14:textId="375036EE" w:rsidR="007A3625" w:rsidRPr="00F36576" w:rsidRDefault="007A3625" w:rsidP="001C4A46">
      <w:pPr>
        <w:pStyle w:val="Listenabsatz"/>
        <w:numPr>
          <w:ilvl w:val="0"/>
          <w:numId w:val="5"/>
        </w:numPr>
        <w:spacing w:after="0" w:line="240" w:lineRule="auto"/>
        <w:jc w:val="both"/>
        <w:rPr>
          <w:rFonts w:ascii="Arial" w:hAnsi="Arial" w:cs="Arial"/>
          <w:sz w:val="22"/>
          <w:szCs w:val="22"/>
        </w:rPr>
      </w:pPr>
      <w:r w:rsidRPr="00F36576">
        <w:rPr>
          <w:rFonts w:ascii="Arial" w:hAnsi="Arial" w:cs="Arial"/>
          <w:sz w:val="22"/>
          <w:szCs w:val="22"/>
        </w:rPr>
        <w:t>Verkehrsanlage</w:t>
      </w:r>
      <w:r w:rsidR="00C575E5">
        <w:rPr>
          <w:rFonts w:ascii="Arial" w:hAnsi="Arial" w:cs="Arial"/>
          <w:sz w:val="22"/>
          <w:szCs w:val="22"/>
        </w:rPr>
        <w:t xml:space="preserve"> (</w:t>
      </w:r>
      <w:r w:rsidR="00C575E5" w:rsidRPr="0036378E">
        <w:rPr>
          <w:rFonts w:ascii="Arial" w:hAnsi="Arial" w:cs="Arial"/>
          <w:sz w:val="22"/>
          <w:szCs w:val="22"/>
        </w:rPr>
        <w:t>Variante 3</w:t>
      </w:r>
      <w:r w:rsidR="00C575E5">
        <w:rPr>
          <w:rFonts w:ascii="Arial" w:hAnsi="Arial" w:cs="Arial"/>
          <w:sz w:val="22"/>
          <w:szCs w:val="22"/>
        </w:rPr>
        <w:t>)</w:t>
      </w:r>
      <w:r w:rsidRPr="00F36576">
        <w:rPr>
          <w:rFonts w:ascii="Arial" w:hAnsi="Arial" w:cs="Arial"/>
          <w:sz w:val="22"/>
          <w:szCs w:val="22"/>
        </w:rPr>
        <w:t> in Asphaltbauweise einschließlich Gehwegen, Parkflächen und Elementen zur Verkehrsberuhigung.</w:t>
      </w:r>
    </w:p>
    <w:p w14:paraId="1EBED831" w14:textId="12546920" w:rsidR="007A3625" w:rsidRPr="00F36576" w:rsidRDefault="007A3625" w:rsidP="001C4A46">
      <w:pPr>
        <w:pStyle w:val="Listenabsatz"/>
        <w:numPr>
          <w:ilvl w:val="0"/>
          <w:numId w:val="5"/>
        </w:numPr>
        <w:spacing w:after="0" w:line="240" w:lineRule="auto"/>
        <w:jc w:val="both"/>
        <w:rPr>
          <w:rFonts w:ascii="Arial" w:hAnsi="Arial" w:cs="Arial"/>
          <w:sz w:val="22"/>
          <w:szCs w:val="22"/>
        </w:rPr>
      </w:pPr>
      <w:r w:rsidRPr="00F36576">
        <w:rPr>
          <w:rFonts w:ascii="Arial" w:hAnsi="Arial" w:cs="Arial"/>
          <w:sz w:val="22"/>
          <w:szCs w:val="22"/>
        </w:rPr>
        <w:t>Kanalisation im Trennsystem (Schmutz- und Regenwasser), einschließlich der Erneuerung der Hausanschlüsse bis an die Grundstücksgrenze.</w:t>
      </w:r>
    </w:p>
    <w:p w14:paraId="1A789244" w14:textId="2E64BF80" w:rsidR="007A3625" w:rsidRPr="00F36576" w:rsidRDefault="007A3625" w:rsidP="001C4A46">
      <w:pPr>
        <w:pStyle w:val="Listenabsatz"/>
        <w:numPr>
          <w:ilvl w:val="0"/>
          <w:numId w:val="5"/>
        </w:numPr>
        <w:spacing w:after="0" w:line="240" w:lineRule="auto"/>
        <w:jc w:val="both"/>
        <w:rPr>
          <w:rFonts w:ascii="Arial" w:hAnsi="Arial" w:cs="Arial"/>
          <w:sz w:val="22"/>
          <w:szCs w:val="22"/>
        </w:rPr>
      </w:pPr>
      <w:r w:rsidRPr="00F36576">
        <w:rPr>
          <w:rFonts w:ascii="Arial" w:hAnsi="Arial" w:cs="Arial"/>
          <w:sz w:val="22"/>
          <w:szCs w:val="22"/>
        </w:rPr>
        <w:t>Wasserleitung</w:t>
      </w:r>
      <w:r w:rsidR="00C42546" w:rsidRPr="00F36576">
        <w:rPr>
          <w:rFonts w:ascii="Arial" w:hAnsi="Arial" w:cs="Arial"/>
          <w:sz w:val="22"/>
          <w:szCs w:val="22"/>
        </w:rPr>
        <w:t xml:space="preserve"> </w:t>
      </w:r>
      <w:r w:rsidRPr="00F36576">
        <w:rPr>
          <w:rFonts w:ascii="Arial" w:hAnsi="Arial" w:cs="Arial"/>
          <w:sz w:val="22"/>
          <w:szCs w:val="22"/>
        </w:rPr>
        <w:t>mit vollständiger Erneuerung der Hausanschlüsse bis zum Wasserzähler.</w:t>
      </w:r>
    </w:p>
    <w:p w14:paraId="1E8FF29A" w14:textId="71171751" w:rsidR="007A3625" w:rsidRDefault="007A3625" w:rsidP="001C4A46">
      <w:pPr>
        <w:pStyle w:val="Listenabsatz"/>
        <w:numPr>
          <w:ilvl w:val="0"/>
          <w:numId w:val="5"/>
        </w:numPr>
        <w:spacing w:after="0" w:line="240" w:lineRule="auto"/>
        <w:jc w:val="both"/>
        <w:rPr>
          <w:rFonts w:ascii="Arial" w:hAnsi="Arial" w:cs="Arial"/>
          <w:sz w:val="22"/>
          <w:szCs w:val="22"/>
        </w:rPr>
      </w:pPr>
      <w:r w:rsidRPr="00F36576">
        <w:rPr>
          <w:rFonts w:ascii="Arial" w:hAnsi="Arial" w:cs="Arial"/>
          <w:sz w:val="22"/>
          <w:szCs w:val="22"/>
        </w:rPr>
        <w:t>Tiefbauarbeiten der Beleuchtungsanlage (vollständige Erneuerung).</w:t>
      </w:r>
    </w:p>
    <w:p w14:paraId="230CB28B" w14:textId="77777777" w:rsidR="001C4A46" w:rsidRPr="00F36576" w:rsidRDefault="001C4A46" w:rsidP="001C4A46">
      <w:pPr>
        <w:pStyle w:val="Listenabsatz"/>
        <w:spacing w:after="0" w:line="240" w:lineRule="auto"/>
        <w:jc w:val="both"/>
        <w:rPr>
          <w:rFonts w:ascii="Arial" w:hAnsi="Arial" w:cs="Arial"/>
          <w:sz w:val="22"/>
          <w:szCs w:val="22"/>
        </w:rPr>
      </w:pPr>
    </w:p>
    <w:p w14:paraId="135AC4C1" w14:textId="77777777" w:rsidR="007A3625" w:rsidRPr="007A3625" w:rsidRDefault="007A3625" w:rsidP="001C4A46">
      <w:pPr>
        <w:spacing w:after="0" w:line="240" w:lineRule="auto"/>
        <w:jc w:val="both"/>
        <w:rPr>
          <w:rFonts w:ascii="Arial" w:hAnsi="Arial" w:cs="Arial"/>
          <w:b/>
          <w:bCs/>
          <w:sz w:val="22"/>
          <w:szCs w:val="22"/>
        </w:rPr>
      </w:pPr>
      <w:r w:rsidRPr="007A3625">
        <w:rPr>
          <w:rFonts w:ascii="Arial" w:hAnsi="Arial" w:cs="Arial"/>
          <w:b/>
          <w:bCs/>
          <w:sz w:val="22"/>
          <w:szCs w:val="22"/>
        </w:rPr>
        <w:t>Beschreibung des Projektareals:</w:t>
      </w:r>
    </w:p>
    <w:p w14:paraId="75E10980" w14:textId="1D40C70B" w:rsidR="00C42546" w:rsidRPr="00C42546" w:rsidRDefault="00C42546" w:rsidP="00045D4A">
      <w:pPr>
        <w:spacing w:after="0" w:line="240" w:lineRule="auto"/>
        <w:jc w:val="both"/>
        <w:rPr>
          <w:rFonts w:ascii="Arial" w:hAnsi="Arial" w:cs="Arial"/>
          <w:sz w:val="22"/>
          <w:szCs w:val="22"/>
        </w:rPr>
      </w:pPr>
      <w:r w:rsidRPr="00C42546">
        <w:rPr>
          <w:rFonts w:ascii="Arial" w:hAnsi="Arial" w:cs="Arial"/>
          <w:sz w:val="22"/>
          <w:szCs w:val="22"/>
        </w:rPr>
        <w:t>Die „Kastanienallee“ ist eine zentrale Erschließungsstraße mit überörtlicher Bedeutung. Als Hauptzugang zum Schulzentrum</w:t>
      </w:r>
      <w:r>
        <w:rPr>
          <w:rFonts w:ascii="Arial" w:hAnsi="Arial" w:cs="Arial"/>
          <w:sz w:val="22"/>
          <w:szCs w:val="22"/>
        </w:rPr>
        <w:t xml:space="preserve">, </w:t>
      </w:r>
      <w:r w:rsidRPr="00C42546">
        <w:rPr>
          <w:rFonts w:ascii="Arial" w:hAnsi="Arial" w:cs="Arial"/>
          <w:sz w:val="22"/>
          <w:szCs w:val="22"/>
        </w:rPr>
        <w:t>bestehend aus der Overberg-Grundschule und der Berggartenschule</w:t>
      </w:r>
      <w:r>
        <w:rPr>
          <w:rFonts w:ascii="Arial" w:hAnsi="Arial" w:cs="Arial"/>
          <w:sz w:val="22"/>
          <w:szCs w:val="22"/>
        </w:rPr>
        <w:t xml:space="preserve">, </w:t>
      </w:r>
      <w:r w:rsidRPr="00C42546">
        <w:rPr>
          <w:rFonts w:ascii="Arial" w:hAnsi="Arial" w:cs="Arial"/>
          <w:sz w:val="22"/>
          <w:szCs w:val="22"/>
        </w:rPr>
        <w:t xml:space="preserve">bewältigt sie ein massives Aufkommen an Busverkehr und </w:t>
      </w:r>
      <w:r>
        <w:rPr>
          <w:rFonts w:ascii="Arial" w:hAnsi="Arial" w:cs="Arial"/>
          <w:sz w:val="22"/>
          <w:szCs w:val="22"/>
        </w:rPr>
        <w:t>„</w:t>
      </w:r>
      <w:r w:rsidRPr="00C42546">
        <w:rPr>
          <w:rFonts w:ascii="Arial" w:hAnsi="Arial" w:cs="Arial"/>
          <w:sz w:val="22"/>
          <w:szCs w:val="22"/>
        </w:rPr>
        <w:t>Elterntaxis</w:t>
      </w:r>
      <w:r>
        <w:rPr>
          <w:rFonts w:ascii="Arial" w:hAnsi="Arial" w:cs="Arial"/>
          <w:sz w:val="22"/>
          <w:szCs w:val="22"/>
        </w:rPr>
        <w:t>“</w:t>
      </w:r>
      <w:r w:rsidRPr="00C42546">
        <w:rPr>
          <w:rFonts w:ascii="Arial" w:hAnsi="Arial" w:cs="Arial"/>
          <w:sz w:val="22"/>
          <w:szCs w:val="22"/>
        </w:rPr>
        <w:t>. Ergänzt wird diese Belastung durch die Overberghalle und die Mehrzweckhalle, die als größte Sport- und Veranstaltungsstätten der Verbandsgemeinde täglich bis in die späten Abendstunden sowie bei Großevents mit bis zu 1.500 Gästen genutzt werden.</w:t>
      </w:r>
    </w:p>
    <w:p w14:paraId="55366F0E" w14:textId="5920C118" w:rsidR="00C42546" w:rsidRPr="00C42546" w:rsidRDefault="00C42546" w:rsidP="00045D4A">
      <w:pPr>
        <w:spacing w:after="0" w:line="240" w:lineRule="auto"/>
        <w:jc w:val="both"/>
        <w:rPr>
          <w:rFonts w:ascii="Arial" w:hAnsi="Arial" w:cs="Arial"/>
          <w:sz w:val="22"/>
          <w:szCs w:val="22"/>
        </w:rPr>
      </w:pPr>
      <w:r w:rsidRPr="00C42546">
        <w:rPr>
          <w:rFonts w:ascii="Arial" w:hAnsi="Arial" w:cs="Arial"/>
          <w:sz w:val="22"/>
          <w:szCs w:val="22"/>
        </w:rPr>
        <w:t xml:space="preserve">Um diesen Bedarf zu decken, integriert die Straße großflächige Park-Slots, die für den Betrieb der Hallen und Schulen unverzichtbar sind. Aufgrund dieser funktionalen Sonderrolle </w:t>
      </w:r>
      <w:r w:rsidRPr="00C42546">
        <w:rPr>
          <w:rFonts w:ascii="Arial" w:hAnsi="Arial" w:cs="Arial"/>
          <w:sz w:val="22"/>
          <w:szCs w:val="22"/>
        </w:rPr>
        <w:lastRenderedPageBreak/>
        <w:t>(Schwerlast, Stoßzeitenverkehr und hoher Parkdruck) erfordert die Kastanienallee eine Dimensionierung, die über den Standard einer normalen Wohnstraße hinausgeht.</w:t>
      </w:r>
    </w:p>
    <w:p w14:paraId="1C3AEC8B" w14:textId="5C9644F5" w:rsidR="007A3625" w:rsidRPr="007A3625" w:rsidRDefault="00F25EB8" w:rsidP="00045D4A">
      <w:pPr>
        <w:spacing w:after="0" w:line="240" w:lineRule="auto"/>
        <w:jc w:val="both"/>
        <w:rPr>
          <w:rFonts w:ascii="Arial" w:hAnsi="Arial" w:cs="Arial"/>
          <w:sz w:val="22"/>
          <w:szCs w:val="22"/>
        </w:rPr>
      </w:pPr>
      <w:r>
        <w:rPr>
          <w:rFonts w:ascii="Arial" w:hAnsi="Arial" w:cs="Arial"/>
          <w:sz w:val="22"/>
          <w:szCs w:val="22"/>
        </w:rPr>
        <w:t>Der</w:t>
      </w:r>
      <w:r w:rsidR="007A3625" w:rsidRPr="007A3625">
        <w:rPr>
          <w:rFonts w:ascii="Arial" w:hAnsi="Arial" w:cs="Arial"/>
          <w:sz w:val="22"/>
          <w:szCs w:val="22"/>
        </w:rPr>
        <w:t xml:space="preserve"> Straßenkörper </w:t>
      </w:r>
      <w:r>
        <w:rPr>
          <w:rFonts w:ascii="Arial" w:hAnsi="Arial" w:cs="Arial"/>
          <w:sz w:val="22"/>
          <w:szCs w:val="22"/>
        </w:rPr>
        <w:t xml:space="preserve">weist </w:t>
      </w:r>
      <w:r w:rsidR="007A3625" w:rsidRPr="007A3625">
        <w:rPr>
          <w:rFonts w:ascii="Arial" w:hAnsi="Arial" w:cs="Arial"/>
          <w:sz w:val="22"/>
          <w:szCs w:val="22"/>
        </w:rPr>
        <w:t xml:space="preserve">aktuell mittlere bis starke Schäden (Risse, Asphaltausbrüche, defekte Randeinfassungen) auf. </w:t>
      </w:r>
    </w:p>
    <w:p w14:paraId="5BFD8870" w14:textId="5C849B4B" w:rsidR="00E27F59" w:rsidRPr="00E27F59" w:rsidRDefault="00E27F59" w:rsidP="00045D4A">
      <w:pPr>
        <w:spacing w:after="0" w:line="240" w:lineRule="auto"/>
        <w:jc w:val="both"/>
        <w:rPr>
          <w:rFonts w:ascii="Arial" w:hAnsi="Arial" w:cs="Arial"/>
          <w:sz w:val="22"/>
          <w:szCs w:val="22"/>
        </w:rPr>
      </w:pPr>
      <w:r w:rsidRPr="00E27F59">
        <w:rPr>
          <w:rFonts w:ascii="Arial" w:hAnsi="Arial" w:cs="Arial"/>
          <w:sz w:val="22"/>
          <w:szCs w:val="22"/>
        </w:rPr>
        <w:t xml:space="preserve">Die bauliche Umsetzung der Kastanienallee erfolgt als Vollausbau im Dachprofil, wobei die Trassierung und Höhenplanung dem Bestand folgen. Der neue Fahrbahnaufbau wird für die Belastungsklasse </w:t>
      </w:r>
      <w:r w:rsidR="00715C0E">
        <w:rPr>
          <w:rFonts w:ascii="Arial" w:hAnsi="Arial" w:cs="Arial"/>
          <w:sz w:val="22"/>
          <w:szCs w:val="22"/>
        </w:rPr>
        <w:t>3,2</w:t>
      </w:r>
      <w:r w:rsidRPr="00E27F59">
        <w:rPr>
          <w:rFonts w:ascii="Arial" w:hAnsi="Arial" w:cs="Arial"/>
          <w:sz w:val="22"/>
          <w:szCs w:val="22"/>
        </w:rPr>
        <w:t xml:space="preserve"> ausgelegt</w:t>
      </w:r>
      <w:r w:rsidR="00715C0E">
        <w:rPr>
          <w:rFonts w:ascii="Arial" w:hAnsi="Arial" w:cs="Arial"/>
          <w:sz w:val="22"/>
          <w:szCs w:val="22"/>
        </w:rPr>
        <w:t>.</w:t>
      </w:r>
      <w:r w:rsidRPr="00E27F59">
        <w:rPr>
          <w:rFonts w:ascii="Arial" w:hAnsi="Arial" w:cs="Arial"/>
          <w:sz w:val="22"/>
          <w:szCs w:val="22"/>
        </w:rPr>
        <w:t xml:space="preserve"> </w:t>
      </w:r>
      <w:r w:rsidR="00433624">
        <w:rPr>
          <w:rFonts w:ascii="Arial" w:hAnsi="Arial" w:cs="Arial"/>
          <w:sz w:val="22"/>
          <w:szCs w:val="22"/>
        </w:rPr>
        <w:t xml:space="preserve">Zuvor war die Belastungsklasse 1,8 vorgesehen. </w:t>
      </w:r>
      <w:r w:rsidRPr="00E27F59">
        <w:rPr>
          <w:rFonts w:ascii="Arial" w:hAnsi="Arial" w:cs="Arial"/>
          <w:sz w:val="22"/>
          <w:szCs w:val="22"/>
        </w:rPr>
        <w:t xml:space="preserve">Die beidseitigen Gehwege erhalten eine Oberflächenbefestigung aus 8 cm starkem Pflasterstein. Die Entwässerung der Verkehrsflächen wird über Beton-Rundbordsteine und Beton-Großpflastersteine an den wasserführenden Seiten sichergestellt. Zur Verkehrsberuhigung werden Elemente in der Breite einer halben Fahrspur integriert, um die Geschwindigkeit auf 30 km/h zu reduzieren. </w:t>
      </w:r>
      <w:r w:rsidR="00715C0E">
        <w:rPr>
          <w:rFonts w:ascii="Arial" w:hAnsi="Arial" w:cs="Arial"/>
          <w:sz w:val="22"/>
          <w:szCs w:val="22"/>
        </w:rPr>
        <w:t>In der</w:t>
      </w:r>
      <w:r w:rsidRPr="00E27F59">
        <w:rPr>
          <w:rFonts w:ascii="Arial" w:hAnsi="Arial" w:cs="Arial"/>
          <w:sz w:val="22"/>
          <w:szCs w:val="22"/>
        </w:rPr>
        <w:t xml:space="preserve"> </w:t>
      </w:r>
      <w:r w:rsidRPr="00AC2134">
        <w:rPr>
          <w:rFonts w:ascii="Arial" w:hAnsi="Arial" w:cs="Arial"/>
          <w:sz w:val="22"/>
          <w:szCs w:val="22"/>
          <w:u w:val="single"/>
        </w:rPr>
        <w:t>Gestaltungsvariante</w:t>
      </w:r>
      <w:r w:rsidR="00715C0E" w:rsidRPr="00AC2134">
        <w:rPr>
          <w:rFonts w:ascii="Arial" w:hAnsi="Arial" w:cs="Arial"/>
          <w:sz w:val="22"/>
          <w:szCs w:val="22"/>
          <w:u w:val="single"/>
        </w:rPr>
        <w:t xml:space="preserve"> Nr. 3</w:t>
      </w:r>
      <w:r w:rsidRPr="00E27F59">
        <w:rPr>
          <w:rFonts w:ascii="Arial" w:hAnsi="Arial" w:cs="Arial"/>
          <w:sz w:val="22"/>
          <w:szCs w:val="22"/>
        </w:rPr>
        <w:t xml:space="preserve"> werden 42 Parkmöglichkeiten in Parktaschen geschaffen.</w:t>
      </w:r>
    </w:p>
    <w:p w14:paraId="28681AB6" w14:textId="0E52F88B" w:rsidR="00E27F59" w:rsidRPr="00E27F59" w:rsidRDefault="00E27F59" w:rsidP="00045D4A">
      <w:pPr>
        <w:spacing w:after="0" w:line="240" w:lineRule="auto"/>
        <w:jc w:val="both"/>
        <w:rPr>
          <w:rFonts w:ascii="Arial" w:hAnsi="Arial" w:cs="Arial"/>
          <w:sz w:val="22"/>
          <w:szCs w:val="22"/>
        </w:rPr>
      </w:pPr>
      <w:r w:rsidRPr="00E27F59">
        <w:rPr>
          <w:rFonts w:ascii="Arial" w:hAnsi="Arial" w:cs="Arial"/>
          <w:sz w:val="22"/>
          <w:szCs w:val="22"/>
        </w:rPr>
        <w:t>Im Bereich der Siedlungswasserwirtschaft wird die Kanalisation auf ein Trennsystem umgestellt, um Schmutz- und Oberflächenwasser getrennt abzuleiten. Die neuen Leitungen werden in der Dimension DN 300 parallel und aushuboptimiert verlegt. Da aktuell keine Kapazitäten für eine Regenrückhaltung im Bereich der Kastanienallee vorhanden sind, erfolgt der Anschluss beider Systeme vorerst an die bestehenden Mischwasserkanäle in der Waldstraße und der Overbergstraße. Die Hausanschlüsse werden im Zuge dieser Arbeiten bis an die jeweilige Grundstücksgrenze erneuert.</w:t>
      </w:r>
    </w:p>
    <w:p w14:paraId="3CD592C8" w14:textId="7BB4D2C3" w:rsidR="00E27F59" w:rsidRDefault="00E27F59" w:rsidP="00045D4A">
      <w:pPr>
        <w:spacing w:after="0" w:line="240" w:lineRule="auto"/>
        <w:jc w:val="both"/>
        <w:rPr>
          <w:rFonts w:ascii="Arial" w:hAnsi="Arial" w:cs="Arial"/>
          <w:sz w:val="22"/>
          <w:szCs w:val="22"/>
        </w:rPr>
      </w:pPr>
      <w:r w:rsidRPr="00E27F59">
        <w:rPr>
          <w:rFonts w:ascii="Arial" w:hAnsi="Arial" w:cs="Arial"/>
          <w:sz w:val="22"/>
          <w:szCs w:val="22"/>
        </w:rPr>
        <w:t xml:space="preserve">Die Trinkwasserversorgung wird im gesamten Projektabschnitt von der Waldstraße bis zur Overbergstraße vollständig ersetzt. Dabei wird der bestehende Ringschluss durch neue Leitungen aus duktilem Gusseisen (GJS) in den Dimensionen DN 100 bis DN 200 modernisiert. Die Verlegung der Hauptleitung sowie der zugehörigen Armaturen erfolgt vorzugsweise im Gehwegbereich, um den Straßenkörper für spätere Wartungsarbeiten nicht öffnen zu müssen. </w:t>
      </w:r>
      <w:r w:rsidR="00715C0E">
        <w:rPr>
          <w:rFonts w:ascii="Arial" w:hAnsi="Arial" w:cs="Arial"/>
          <w:sz w:val="22"/>
          <w:szCs w:val="22"/>
        </w:rPr>
        <w:t xml:space="preserve">Die bestehenden Schächte sind abzureißen. </w:t>
      </w:r>
      <w:r w:rsidRPr="00E27F59">
        <w:rPr>
          <w:rFonts w:ascii="Arial" w:hAnsi="Arial" w:cs="Arial"/>
          <w:sz w:val="22"/>
          <w:szCs w:val="22"/>
        </w:rPr>
        <w:t>Die Erneuerung der Wasserhausanschlüsse wird bis zum Wasserzähler innerhalb der Gebäude ausgeführt. Parallel zu diesen Maßnahmen wird die Straßenbeleuchtung in Abstimmung mit dem Serviceunternehmer vollständig erneuert.</w:t>
      </w:r>
    </w:p>
    <w:p w14:paraId="1D41E0B3" w14:textId="77777777" w:rsidR="00BE7AA9" w:rsidRPr="00E27F59" w:rsidRDefault="00BE7AA9" w:rsidP="001C4A46">
      <w:pPr>
        <w:spacing w:after="0" w:line="240" w:lineRule="auto"/>
        <w:rPr>
          <w:rFonts w:ascii="Arial" w:hAnsi="Arial" w:cs="Arial"/>
          <w:sz w:val="22"/>
          <w:szCs w:val="22"/>
        </w:rPr>
      </w:pPr>
    </w:p>
    <w:p w14:paraId="14ED556E" w14:textId="53E1B4D1" w:rsidR="007A3625" w:rsidRPr="00CA3F9E" w:rsidRDefault="006322AF" w:rsidP="001C4A46">
      <w:pPr>
        <w:spacing w:after="0" w:line="240" w:lineRule="auto"/>
        <w:rPr>
          <w:rFonts w:ascii="Arial" w:hAnsi="Arial" w:cs="Arial"/>
          <w:b/>
          <w:bCs/>
          <w:sz w:val="22"/>
          <w:szCs w:val="22"/>
        </w:rPr>
      </w:pPr>
      <w:r w:rsidRPr="00CA3F9E">
        <w:rPr>
          <w:rFonts w:ascii="Arial" w:hAnsi="Arial" w:cs="Arial"/>
          <w:b/>
          <w:bCs/>
          <w:sz w:val="22"/>
          <w:szCs w:val="22"/>
        </w:rPr>
        <w:t>Grundhonorare:</w:t>
      </w:r>
    </w:p>
    <w:p w14:paraId="64B3A8CC" w14:textId="77777777" w:rsidR="00CA3F9E" w:rsidRPr="00CA3F9E" w:rsidRDefault="00CA3F9E" w:rsidP="007352C3">
      <w:pPr>
        <w:spacing w:after="60" w:line="260" w:lineRule="exact"/>
        <w:jc w:val="both"/>
        <w:rPr>
          <w:rFonts w:ascii="Arial" w:hAnsi="Arial" w:cs="Arial"/>
          <w:sz w:val="22"/>
          <w:szCs w:val="22"/>
        </w:rPr>
      </w:pPr>
      <w:r w:rsidRPr="00CA3F9E">
        <w:rPr>
          <w:rFonts w:ascii="Arial" w:hAnsi="Arial" w:cs="Arial"/>
          <w:sz w:val="22"/>
          <w:szCs w:val="22"/>
        </w:rPr>
        <w:t xml:space="preserve">Aus Gründen der Sicherstellung vergleichbarer Honorarangebote und den Förderbedingungen werden für die Planungsleistungen die anrechenbaren Baukosten, die Honorarzonen sowie das Grundhonorar verbindlich vorgegeben (siehe Preisblätter):   </w:t>
      </w:r>
    </w:p>
    <w:p w14:paraId="2CA23F2A" w14:textId="77777777" w:rsidR="00CA3F9E" w:rsidRPr="00CA3F9E" w:rsidRDefault="00CA3F9E" w:rsidP="001C4A46">
      <w:pPr>
        <w:spacing w:after="0" w:line="240" w:lineRule="auto"/>
        <w:rPr>
          <w:rFonts w:ascii="Arial" w:hAnsi="Arial" w:cs="Arial"/>
          <w:sz w:val="22"/>
          <w:szCs w:val="22"/>
          <w:u w:val="single"/>
        </w:rPr>
      </w:pPr>
    </w:p>
    <w:p w14:paraId="7C93B66C" w14:textId="4BD53EFD" w:rsidR="006322AF" w:rsidRPr="00CA3F9E" w:rsidRDefault="006322AF" w:rsidP="001C4A46">
      <w:pPr>
        <w:spacing w:after="0" w:line="240" w:lineRule="auto"/>
        <w:jc w:val="both"/>
        <w:rPr>
          <w:rFonts w:ascii="Arial" w:hAnsi="Arial" w:cs="Arial"/>
          <w:sz w:val="22"/>
          <w:szCs w:val="22"/>
          <w:u w:val="single"/>
        </w:rPr>
      </w:pPr>
      <w:r w:rsidRPr="00CA3F9E">
        <w:rPr>
          <w:rFonts w:ascii="Arial" w:hAnsi="Arial" w:cs="Arial"/>
          <w:sz w:val="22"/>
          <w:szCs w:val="22"/>
          <w:u w:val="single"/>
        </w:rPr>
        <w:t xml:space="preserve">1. Verkehrsanlagen inkl. Beleuchtungstiefbau </w:t>
      </w:r>
    </w:p>
    <w:p w14:paraId="49CA3B74" w14:textId="2ED1B6F0"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Anrechenbare Kosten (Netto): </w:t>
      </w:r>
      <w:r w:rsidR="007352C3">
        <w:rPr>
          <w:rFonts w:ascii="Arial" w:hAnsi="Arial" w:cs="Arial"/>
          <w:sz w:val="22"/>
          <w:szCs w:val="22"/>
        </w:rPr>
        <w:t>2.007.305,00 Euro</w:t>
      </w:r>
    </w:p>
    <w:p w14:paraId="6E57B278"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HOAI 2021; § 48 Abs. 1 - Verkehrsanlagen (Anwendungsbereich des § 45) </w:t>
      </w:r>
    </w:p>
    <w:p w14:paraId="3566A3ED"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Honorarzone III – Basissatz  </w:t>
      </w:r>
    </w:p>
    <w:p w14:paraId="3DAB782A" w14:textId="1AE9AECE"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Grundhonorar (Netto): </w:t>
      </w:r>
      <w:r w:rsidR="00680C42">
        <w:rPr>
          <w:rFonts w:ascii="Arial" w:hAnsi="Arial" w:cs="Arial"/>
          <w:sz w:val="22"/>
          <w:szCs w:val="22"/>
        </w:rPr>
        <w:t>137.148,17 Euro</w:t>
      </w:r>
    </w:p>
    <w:p w14:paraId="762DBE84" w14:textId="77777777" w:rsidR="006322AF" w:rsidRPr="006322AF" w:rsidRDefault="006322AF" w:rsidP="001C4A46">
      <w:pPr>
        <w:spacing w:after="0" w:line="240" w:lineRule="auto"/>
        <w:jc w:val="both"/>
        <w:rPr>
          <w:rFonts w:ascii="Arial" w:hAnsi="Arial" w:cs="Arial"/>
          <w:sz w:val="22"/>
          <w:szCs w:val="22"/>
        </w:rPr>
      </w:pPr>
    </w:p>
    <w:p w14:paraId="53F2D74C" w14:textId="77777777" w:rsidR="006322AF" w:rsidRPr="00CA3F9E" w:rsidRDefault="006322AF" w:rsidP="001C4A46">
      <w:pPr>
        <w:spacing w:after="0" w:line="240" w:lineRule="auto"/>
        <w:jc w:val="both"/>
        <w:rPr>
          <w:rFonts w:ascii="Arial" w:hAnsi="Arial" w:cs="Arial"/>
          <w:sz w:val="22"/>
          <w:szCs w:val="22"/>
          <w:u w:val="single"/>
        </w:rPr>
      </w:pPr>
      <w:r w:rsidRPr="00CA3F9E">
        <w:rPr>
          <w:rFonts w:ascii="Arial" w:hAnsi="Arial" w:cs="Arial"/>
          <w:sz w:val="22"/>
          <w:szCs w:val="22"/>
          <w:u w:val="single"/>
        </w:rPr>
        <w:t xml:space="preserve">2. Kanalisation  </w:t>
      </w:r>
    </w:p>
    <w:p w14:paraId="263A5681" w14:textId="0CC96055"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Anrechenbare Kosten (Netto): </w:t>
      </w:r>
      <w:r w:rsidR="007352C3">
        <w:rPr>
          <w:rFonts w:ascii="Arial" w:hAnsi="Arial" w:cs="Arial"/>
          <w:sz w:val="22"/>
          <w:szCs w:val="22"/>
        </w:rPr>
        <w:t>641.544,00 Euro</w:t>
      </w:r>
    </w:p>
    <w:p w14:paraId="271548D0"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HOAI 2021; § 44 Abs. 1 - Ingenieurbauwerke (Anwendungsbereich des § 41)</w:t>
      </w:r>
    </w:p>
    <w:p w14:paraId="76972502"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Honorarzone III – Basissatz  </w:t>
      </w:r>
    </w:p>
    <w:p w14:paraId="1F73A894" w14:textId="1D78B729"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Grundhonorar (Netto): </w:t>
      </w:r>
      <w:r w:rsidR="00680C42">
        <w:rPr>
          <w:rFonts w:ascii="Arial" w:hAnsi="Arial" w:cs="Arial"/>
          <w:sz w:val="22"/>
          <w:szCs w:val="22"/>
        </w:rPr>
        <w:t>58.143,84 Euro</w:t>
      </w:r>
    </w:p>
    <w:p w14:paraId="3316EA24" w14:textId="77777777" w:rsidR="006322AF" w:rsidRPr="006322AF" w:rsidRDefault="006322AF" w:rsidP="001C4A46">
      <w:pPr>
        <w:spacing w:after="0" w:line="240" w:lineRule="auto"/>
        <w:jc w:val="both"/>
        <w:rPr>
          <w:rFonts w:ascii="Arial" w:hAnsi="Arial" w:cs="Arial"/>
          <w:sz w:val="22"/>
          <w:szCs w:val="22"/>
        </w:rPr>
      </w:pPr>
    </w:p>
    <w:p w14:paraId="11213FA6" w14:textId="77777777" w:rsidR="006322AF" w:rsidRPr="00CA3F9E" w:rsidRDefault="006322AF" w:rsidP="001C4A46">
      <w:pPr>
        <w:spacing w:after="0" w:line="240" w:lineRule="auto"/>
        <w:jc w:val="both"/>
        <w:rPr>
          <w:rFonts w:ascii="Arial" w:hAnsi="Arial" w:cs="Arial"/>
          <w:sz w:val="22"/>
          <w:szCs w:val="22"/>
          <w:u w:val="single"/>
        </w:rPr>
      </w:pPr>
      <w:r w:rsidRPr="00CA3F9E">
        <w:rPr>
          <w:rFonts w:ascii="Arial" w:hAnsi="Arial" w:cs="Arial"/>
          <w:sz w:val="22"/>
          <w:szCs w:val="22"/>
          <w:u w:val="single"/>
        </w:rPr>
        <w:t>3. Trinkwasserversorgung</w:t>
      </w:r>
    </w:p>
    <w:p w14:paraId="43936B3E" w14:textId="6471A9D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Anrechenbare Kosten (Netto): </w:t>
      </w:r>
      <w:r w:rsidR="007352C3">
        <w:rPr>
          <w:rFonts w:ascii="Arial" w:hAnsi="Arial" w:cs="Arial"/>
          <w:sz w:val="22"/>
          <w:szCs w:val="22"/>
        </w:rPr>
        <w:t>257.528,00 Euro</w:t>
      </w:r>
    </w:p>
    <w:p w14:paraId="0985FC3F"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HOAI 2021; § 44 Abs. 1 - Ingenieurbauwerke (Anwendungsbereich des § 41)</w:t>
      </w:r>
    </w:p>
    <w:p w14:paraId="742AC4BD"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Honorarzone II – Basissatz  </w:t>
      </w:r>
    </w:p>
    <w:p w14:paraId="27CA8E48" w14:textId="795608D9"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Grundhonorar (Netto): </w:t>
      </w:r>
      <w:r w:rsidR="00680C42">
        <w:rPr>
          <w:rFonts w:ascii="Arial" w:hAnsi="Arial" w:cs="Arial"/>
          <w:sz w:val="22"/>
          <w:szCs w:val="22"/>
        </w:rPr>
        <w:t>24.836,13 Euro</w:t>
      </w:r>
    </w:p>
    <w:p w14:paraId="568EF763" w14:textId="77777777" w:rsidR="006322AF" w:rsidRDefault="006322AF" w:rsidP="001C4A46">
      <w:pPr>
        <w:spacing w:after="0" w:line="240" w:lineRule="auto"/>
        <w:jc w:val="both"/>
        <w:rPr>
          <w:rFonts w:ascii="Arial" w:hAnsi="Arial" w:cs="Arial"/>
          <w:b/>
          <w:bCs/>
          <w:sz w:val="22"/>
          <w:szCs w:val="22"/>
        </w:rPr>
      </w:pPr>
    </w:p>
    <w:p w14:paraId="40CB7C32"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Zur Ermittlung der Ingenieurleistungen bzw. zur Bildung des gesamten Honorarpreises werden entsprechende Angebotspreisblätter zur Verfügung gestellt. </w:t>
      </w:r>
    </w:p>
    <w:p w14:paraId="596853D1"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 xml:space="preserve">Die Bieter können optional auf das Grundhonorar Auf- oder Abschläge gewähren. Die Bieter haben in diesen Angebotspreisblättern verpflichtend Angaben zu den "Besonderen </w:t>
      </w:r>
      <w:r w:rsidRPr="006322AF">
        <w:rPr>
          <w:rFonts w:ascii="Arial" w:hAnsi="Arial" w:cs="Arial"/>
          <w:sz w:val="22"/>
          <w:szCs w:val="22"/>
        </w:rPr>
        <w:lastRenderedPageBreak/>
        <w:t>Leistungen" (örtliche Bauüberwachung), den "Weiteren Besonderen Leistungen" und den "Nebenkosten" zu machen. Jede nicht vorgesehene, ergänzende Eintragung/Änderung in den Preisblättern führt zwingend zum Angebotsausschluss.</w:t>
      </w:r>
    </w:p>
    <w:p w14:paraId="126467F9" w14:textId="77777777" w:rsidR="006322AF" w:rsidRPr="006322AF" w:rsidRDefault="006322AF" w:rsidP="001C4A46">
      <w:pPr>
        <w:spacing w:after="0" w:line="240" w:lineRule="auto"/>
        <w:jc w:val="both"/>
        <w:rPr>
          <w:rFonts w:ascii="Arial" w:hAnsi="Arial" w:cs="Arial"/>
          <w:sz w:val="22"/>
          <w:szCs w:val="22"/>
        </w:rPr>
      </w:pPr>
      <w:r w:rsidRPr="006322AF">
        <w:rPr>
          <w:rFonts w:ascii="Arial" w:hAnsi="Arial" w:cs="Arial"/>
          <w:sz w:val="22"/>
          <w:szCs w:val="22"/>
        </w:rPr>
        <w:t>Die Zuschlagskriterien und deren Gewichtung können der beigefügten Anlage entnommen werden. Neben dem Zuschlagskriterium „Preis“ (Angebotssumme), werden weitere nicht monetäre Zuschlagskriterien bei der Zuschlagserteilung berücksichtigt. Zu diesen weiteren Zuschlagskriterien haben die Bieter mit ihren Angeboten entsprechende Angaben zu machen, die vom Auftraggeber gewertet werden. Für die Beurteilung der weiteren Zuschlagskriterien kann sich jeder Bieter für dieses Projekt formlos und im selbstbestimmten Umfang bewerben bzw. präsentieren. Die weiteren Zuschlagskriterien und deren Gewichtung können der beigefügten Anlage entnommen werden.</w:t>
      </w:r>
    </w:p>
    <w:p w14:paraId="5C02F02E" w14:textId="77777777" w:rsidR="006322AF" w:rsidRDefault="006322AF" w:rsidP="001C4A46">
      <w:pPr>
        <w:spacing w:after="0" w:line="240" w:lineRule="auto"/>
        <w:jc w:val="both"/>
        <w:rPr>
          <w:rFonts w:ascii="Arial" w:hAnsi="Arial" w:cs="Arial"/>
          <w:b/>
          <w:bCs/>
          <w:sz w:val="22"/>
          <w:szCs w:val="22"/>
        </w:rPr>
      </w:pPr>
    </w:p>
    <w:p w14:paraId="6E47E705" w14:textId="77777777" w:rsidR="005808F9" w:rsidRPr="005808F9" w:rsidRDefault="005808F9" w:rsidP="001C4A46">
      <w:pPr>
        <w:spacing w:after="0" w:line="240" w:lineRule="auto"/>
        <w:jc w:val="both"/>
        <w:rPr>
          <w:rFonts w:ascii="Arial" w:hAnsi="Arial" w:cs="Arial"/>
          <w:sz w:val="22"/>
          <w:szCs w:val="22"/>
          <w:u w:val="single"/>
        </w:rPr>
      </w:pPr>
      <w:r w:rsidRPr="005808F9">
        <w:rPr>
          <w:rFonts w:ascii="Arial" w:hAnsi="Arial" w:cs="Arial"/>
          <w:sz w:val="22"/>
          <w:szCs w:val="22"/>
          <w:u w:val="single"/>
        </w:rPr>
        <w:t xml:space="preserve">Definition von Architekten – und Ingenieurleistungen gemäß § 73 Abs. 2 VGV: </w:t>
      </w:r>
    </w:p>
    <w:p w14:paraId="5776992F" w14:textId="77777777" w:rsidR="005808F9" w:rsidRPr="005808F9" w:rsidRDefault="005808F9" w:rsidP="00CC558D">
      <w:pPr>
        <w:spacing w:after="0" w:line="240" w:lineRule="auto"/>
        <w:rPr>
          <w:rFonts w:ascii="Arial" w:hAnsi="Arial" w:cs="Arial"/>
          <w:sz w:val="22"/>
          <w:szCs w:val="22"/>
        </w:rPr>
      </w:pPr>
      <w:r w:rsidRPr="005808F9">
        <w:rPr>
          <w:rFonts w:ascii="Arial" w:hAnsi="Arial" w:cs="Arial"/>
          <w:sz w:val="22"/>
          <w:szCs w:val="22"/>
        </w:rPr>
        <w:t xml:space="preserve">Architekten- und Ingenieurleistungen sind </w:t>
      </w:r>
    </w:p>
    <w:p w14:paraId="7BDF8F57" w14:textId="77777777" w:rsidR="005808F9" w:rsidRPr="005808F9" w:rsidRDefault="005808F9" w:rsidP="00CC558D">
      <w:pPr>
        <w:spacing w:after="0" w:line="240" w:lineRule="auto"/>
        <w:rPr>
          <w:rFonts w:ascii="Arial" w:hAnsi="Arial" w:cs="Arial"/>
          <w:sz w:val="22"/>
          <w:szCs w:val="22"/>
        </w:rPr>
      </w:pPr>
      <w:r w:rsidRPr="005808F9">
        <w:rPr>
          <w:rFonts w:ascii="Arial" w:hAnsi="Arial" w:cs="Arial"/>
          <w:sz w:val="22"/>
          <w:szCs w:val="22"/>
        </w:rPr>
        <w:t xml:space="preserve">1. Leistungen, die von der Honorarordnung für Architekten und Ingenieure erfasst werden, </w:t>
      </w:r>
    </w:p>
    <w:p w14:paraId="4A8AF2B1" w14:textId="77777777" w:rsidR="005808F9" w:rsidRPr="005808F9" w:rsidRDefault="005808F9" w:rsidP="00CC558D">
      <w:pPr>
        <w:spacing w:after="0" w:line="240" w:lineRule="auto"/>
        <w:rPr>
          <w:rFonts w:ascii="Arial" w:hAnsi="Arial" w:cs="Arial"/>
          <w:sz w:val="22"/>
          <w:szCs w:val="22"/>
        </w:rPr>
      </w:pPr>
      <w:r w:rsidRPr="005808F9">
        <w:rPr>
          <w:rFonts w:ascii="Arial" w:hAnsi="Arial" w:cs="Arial"/>
          <w:sz w:val="22"/>
          <w:szCs w:val="22"/>
        </w:rPr>
        <w:t xml:space="preserve">und </w:t>
      </w:r>
    </w:p>
    <w:p w14:paraId="4F8D5454" w14:textId="54FD8D8B" w:rsidR="005808F9" w:rsidRPr="005808F9" w:rsidRDefault="005808F9" w:rsidP="00CC558D">
      <w:pPr>
        <w:spacing w:after="0" w:line="240" w:lineRule="auto"/>
        <w:rPr>
          <w:rFonts w:ascii="Arial" w:hAnsi="Arial" w:cs="Arial"/>
          <w:sz w:val="22"/>
          <w:szCs w:val="22"/>
        </w:rPr>
      </w:pPr>
      <w:r w:rsidRPr="005808F9">
        <w:rPr>
          <w:rFonts w:ascii="Arial" w:hAnsi="Arial" w:cs="Arial"/>
          <w:sz w:val="22"/>
          <w:szCs w:val="22"/>
        </w:rPr>
        <w:t xml:space="preserve">2. </w:t>
      </w:r>
      <w:r>
        <w:rPr>
          <w:rFonts w:ascii="Arial" w:hAnsi="Arial" w:cs="Arial"/>
          <w:sz w:val="22"/>
          <w:szCs w:val="22"/>
        </w:rPr>
        <w:t>S</w:t>
      </w:r>
      <w:r w:rsidRPr="005808F9">
        <w:rPr>
          <w:rFonts w:ascii="Arial" w:hAnsi="Arial" w:cs="Arial"/>
          <w:sz w:val="22"/>
          <w:szCs w:val="22"/>
        </w:rPr>
        <w:t xml:space="preserve">onstige Leistungen, für die die berufliche Qualifikation des Architekten oder Ingenieurs erforderlich ist oder vom öffentlichen Auftraggeber gefordert wird. </w:t>
      </w:r>
    </w:p>
    <w:p w14:paraId="0F5A4ACA" w14:textId="77777777" w:rsidR="00CA3F9E" w:rsidRDefault="00CA3F9E" w:rsidP="001C4A46">
      <w:pPr>
        <w:spacing w:after="0" w:line="240" w:lineRule="auto"/>
        <w:jc w:val="both"/>
        <w:rPr>
          <w:rFonts w:ascii="Arial" w:hAnsi="Arial" w:cs="Arial"/>
          <w:sz w:val="22"/>
          <w:szCs w:val="22"/>
        </w:rPr>
      </w:pPr>
    </w:p>
    <w:p w14:paraId="45F5090B" w14:textId="264CF105" w:rsidR="00CA3F9E" w:rsidRPr="00CA3F9E" w:rsidRDefault="00CA3F9E" w:rsidP="001C4A46">
      <w:pPr>
        <w:spacing w:after="0" w:line="240" w:lineRule="auto"/>
        <w:jc w:val="both"/>
        <w:rPr>
          <w:rFonts w:ascii="Arial" w:hAnsi="Arial" w:cs="Arial"/>
          <w:sz w:val="22"/>
          <w:szCs w:val="22"/>
          <w:u w:val="single"/>
        </w:rPr>
      </w:pPr>
      <w:r w:rsidRPr="00CA3F9E">
        <w:rPr>
          <w:rFonts w:ascii="Arial" w:hAnsi="Arial" w:cs="Arial"/>
          <w:sz w:val="22"/>
          <w:szCs w:val="22"/>
          <w:u w:val="single"/>
        </w:rPr>
        <w:t>Eignung der Bewerber</w:t>
      </w:r>
    </w:p>
    <w:p w14:paraId="521269F4" w14:textId="6C62735A" w:rsidR="005808F9" w:rsidRDefault="005808F9" w:rsidP="001C4A46">
      <w:pPr>
        <w:spacing w:after="0" w:line="240" w:lineRule="auto"/>
        <w:jc w:val="both"/>
        <w:rPr>
          <w:rFonts w:ascii="Arial" w:hAnsi="Arial" w:cs="Arial"/>
          <w:sz w:val="22"/>
          <w:szCs w:val="22"/>
        </w:rPr>
      </w:pPr>
      <w:r w:rsidRPr="005808F9">
        <w:rPr>
          <w:rFonts w:ascii="Arial" w:hAnsi="Arial" w:cs="Arial"/>
          <w:sz w:val="22"/>
          <w:szCs w:val="22"/>
        </w:rPr>
        <w:t>Zur Eignung der Bewerber wird auf § 75 V</w:t>
      </w:r>
      <w:r w:rsidR="006214E0">
        <w:rPr>
          <w:rFonts w:ascii="Arial" w:hAnsi="Arial" w:cs="Arial"/>
          <w:sz w:val="22"/>
          <w:szCs w:val="22"/>
        </w:rPr>
        <w:t>G</w:t>
      </w:r>
      <w:r w:rsidRPr="005808F9">
        <w:rPr>
          <w:rFonts w:ascii="Arial" w:hAnsi="Arial" w:cs="Arial"/>
          <w:sz w:val="22"/>
          <w:szCs w:val="22"/>
        </w:rPr>
        <w:t>V verwiesen. Die berufliche Qualifikation kann auch im Rahmen der weiteren Zuschlagskriterien bei dem Kriterium „Qualifikation“ belegt werden. Es sind u. a. geeignete Referenzen (eine Mindestreferenz und zwei weitere Referenzen) gemäß § 46 Abs. 3 V</w:t>
      </w:r>
      <w:r w:rsidR="006214E0">
        <w:rPr>
          <w:rFonts w:ascii="Arial" w:hAnsi="Arial" w:cs="Arial"/>
          <w:sz w:val="22"/>
          <w:szCs w:val="22"/>
        </w:rPr>
        <w:t>G</w:t>
      </w:r>
      <w:r w:rsidRPr="005808F9">
        <w:rPr>
          <w:rFonts w:ascii="Arial" w:hAnsi="Arial" w:cs="Arial"/>
          <w:sz w:val="22"/>
          <w:szCs w:val="22"/>
        </w:rPr>
        <w:t xml:space="preserve">V zu beschreiben. Die Bieter legen hierbei fest, mit welcher Referenz sie sich an welcher Stelle wie präsentieren. </w:t>
      </w:r>
    </w:p>
    <w:p w14:paraId="381895C6" w14:textId="77777777" w:rsidR="006C5FE3" w:rsidRPr="005808F9" w:rsidRDefault="006C5FE3" w:rsidP="001C4A46">
      <w:pPr>
        <w:spacing w:after="0" w:line="240" w:lineRule="auto"/>
        <w:jc w:val="both"/>
        <w:rPr>
          <w:rFonts w:ascii="Arial" w:hAnsi="Arial" w:cs="Arial"/>
          <w:sz w:val="22"/>
          <w:szCs w:val="22"/>
        </w:rPr>
      </w:pPr>
    </w:p>
    <w:p w14:paraId="03BE30E1" w14:textId="77777777" w:rsidR="006C5FE3" w:rsidRPr="00CA3F9E" w:rsidRDefault="006C5FE3" w:rsidP="001C4A46">
      <w:pPr>
        <w:spacing w:after="0" w:line="240" w:lineRule="auto"/>
        <w:jc w:val="both"/>
        <w:rPr>
          <w:rFonts w:ascii="Arial" w:hAnsi="Arial" w:cs="Arial"/>
          <w:b/>
          <w:bCs/>
          <w:sz w:val="22"/>
          <w:szCs w:val="22"/>
        </w:rPr>
      </w:pPr>
      <w:r w:rsidRPr="00CA3F9E">
        <w:rPr>
          <w:rFonts w:ascii="Arial" w:hAnsi="Arial" w:cs="Arial"/>
          <w:b/>
          <w:bCs/>
          <w:sz w:val="22"/>
          <w:szCs w:val="22"/>
        </w:rPr>
        <w:t xml:space="preserve">Auftraggeber: </w:t>
      </w:r>
    </w:p>
    <w:p w14:paraId="3265EA21"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Die Beauftragung der Planungsleistungen erfolgt im Namen und auf Rechnung der  </w:t>
      </w:r>
    </w:p>
    <w:p w14:paraId="0AD3BBEA" w14:textId="391144C5" w:rsidR="006C5FE3" w:rsidRPr="001C4A46" w:rsidRDefault="006C5FE3" w:rsidP="001C4A46">
      <w:pPr>
        <w:spacing w:after="0" w:line="240" w:lineRule="auto"/>
        <w:jc w:val="both"/>
        <w:rPr>
          <w:rFonts w:ascii="Arial" w:hAnsi="Arial" w:cs="Arial"/>
          <w:sz w:val="22"/>
          <w:szCs w:val="22"/>
        </w:rPr>
      </w:pPr>
      <w:r w:rsidRPr="001C4A46">
        <w:rPr>
          <w:rFonts w:ascii="Arial" w:hAnsi="Arial" w:cs="Arial"/>
          <w:sz w:val="22"/>
          <w:szCs w:val="22"/>
        </w:rPr>
        <w:t xml:space="preserve">Für Verkehrsanlagen: </w:t>
      </w:r>
    </w:p>
    <w:p w14:paraId="77DCB29E"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Ortsgemeinde Siershahn</w:t>
      </w:r>
    </w:p>
    <w:p w14:paraId="68BD5F34"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Vertr. d. d. Ortsbürgermeister Herrn Alwin Scherz</w:t>
      </w:r>
    </w:p>
    <w:p w14:paraId="43FA439A"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Stetzelmannstr. 10-12</w:t>
      </w:r>
    </w:p>
    <w:p w14:paraId="7300527E" w14:textId="77777777" w:rsid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56427 Siershahn</w:t>
      </w:r>
    </w:p>
    <w:p w14:paraId="7B91AB62" w14:textId="77777777" w:rsidR="001C4A46" w:rsidRPr="006C5FE3" w:rsidRDefault="001C4A46" w:rsidP="001C4A46">
      <w:pPr>
        <w:spacing w:after="0" w:line="240" w:lineRule="auto"/>
        <w:jc w:val="both"/>
        <w:rPr>
          <w:rFonts w:ascii="Arial" w:hAnsi="Arial" w:cs="Arial"/>
          <w:sz w:val="22"/>
          <w:szCs w:val="22"/>
        </w:rPr>
      </w:pPr>
    </w:p>
    <w:p w14:paraId="6E69AD06" w14:textId="77777777" w:rsidR="006C5FE3" w:rsidRPr="00CA3F9E" w:rsidRDefault="006C5FE3" w:rsidP="001C4A46">
      <w:pPr>
        <w:spacing w:after="0" w:line="240" w:lineRule="auto"/>
        <w:jc w:val="both"/>
        <w:rPr>
          <w:rFonts w:ascii="Arial" w:hAnsi="Arial" w:cs="Arial"/>
          <w:i/>
          <w:iCs/>
          <w:sz w:val="22"/>
          <w:szCs w:val="22"/>
        </w:rPr>
      </w:pPr>
      <w:r w:rsidRPr="00CA3F9E">
        <w:rPr>
          <w:rFonts w:ascii="Arial" w:hAnsi="Arial" w:cs="Arial"/>
          <w:i/>
          <w:iCs/>
          <w:sz w:val="22"/>
          <w:szCs w:val="22"/>
        </w:rPr>
        <w:t xml:space="preserve">und geht zu Händen </w:t>
      </w:r>
    </w:p>
    <w:p w14:paraId="671FA5C1"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Verbandsgemeindeverwaltung Wirges </w:t>
      </w:r>
    </w:p>
    <w:p w14:paraId="4426D094"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Straßenbaubehörde / Fachbereich 4 </w:t>
      </w:r>
    </w:p>
    <w:p w14:paraId="201C9416"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Wladislaw Otschkowski</w:t>
      </w:r>
    </w:p>
    <w:p w14:paraId="0369CD10"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Bahnhofstraße 28 </w:t>
      </w:r>
    </w:p>
    <w:p w14:paraId="0CEC93B7"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56422 Wirges </w:t>
      </w:r>
    </w:p>
    <w:p w14:paraId="6AEB9018" w14:textId="77777777" w:rsidR="006C5FE3" w:rsidRPr="006C5FE3" w:rsidRDefault="006C5FE3" w:rsidP="001C4A46">
      <w:pPr>
        <w:spacing w:after="0" w:line="240" w:lineRule="auto"/>
        <w:jc w:val="both"/>
        <w:rPr>
          <w:rFonts w:ascii="Arial" w:hAnsi="Arial" w:cs="Arial"/>
          <w:sz w:val="22"/>
          <w:szCs w:val="22"/>
        </w:rPr>
      </w:pPr>
    </w:p>
    <w:p w14:paraId="6A03E6E5"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Für Kanalisation und Wasserleitungsnetz: </w:t>
      </w:r>
    </w:p>
    <w:p w14:paraId="32BDDAE6"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Verbandsgemeinde Werke, Wirges </w:t>
      </w:r>
    </w:p>
    <w:p w14:paraId="38837F20" w14:textId="52E74193" w:rsidR="006C5FE3" w:rsidRPr="006C5FE3" w:rsidRDefault="000E5229" w:rsidP="001C4A46">
      <w:pPr>
        <w:spacing w:after="0" w:line="240" w:lineRule="auto"/>
        <w:jc w:val="both"/>
        <w:rPr>
          <w:rFonts w:ascii="Arial" w:hAnsi="Arial" w:cs="Arial"/>
          <w:sz w:val="22"/>
          <w:szCs w:val="22"/>
        </w:rPr>
      </w:pPr>
      <w:r>
        <w:rPr>
          <w:rFonts w:ascii="Arial" w:hAnsi="Arial" w:cs="Arial"/>
          <w:sz w:val="22"/>
          <w:szCs w:val="22"/>
        </w:rPr>
        <w:t>Wladislaw Otschkowski</w:t>
      </w:r>
    </w:p>
    <w:p w14:paraId="27B0B2BD"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Bahnhofstraße 28 </w:t>
      </w:r>
    </w:p>
    <w:p w14:paraId="40C5B468"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56422 Wirges </w:t>
      </w:r>
    </w:p>
    <w:p w14:paraId="7BA6D903" w14:textId="77777777" w:rsidR="006C5FE3" w:rsidRPr="006C5FE3" w:rsidRDefault="006C5FE3" w:rsidP="001C4A46">
      <w:pPr>
        <w:spacing w:after="0" w:line="240" w:lineRule="auto"/>
        <w:jc w:val="both"/>
        <w:rPr>
          <w:rFonts w:ascii="Arial" w:hAnsi="Arial" w:cs="Arial"/>
          <w:sz w:val="22"/>
          <w:szCs w:val="22"/>
        </w:rPr>
      </w:pPr>
    </w:p>
    <w:p w14:paraId="4AE0431F"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Wenn eine elektronische Rechnungsstellung mittels eRechnungsformaten (noch) nicht möglich ist, kann zumindest auf die digitale PDF-Variante umgestellt werden. Diese muss direkt an rechnung@wirges.de gerichtet werden. </w:t>
      </w:r>
    </w:p>
    <w:p w14:paraId="187BDFFE"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Die Rechnung muss dabei als Anlage gesendet werden. Der Email-Text darf keine rechnungsrelevanten Daten oder andere Anliegen enthalten. Dies gilt generell für Rechnungen per Email. </w:t>
      </w:r>
    </w:p>
    <w:p w14:paraId="634CE40B" w14:textId="77777777" w:rsidR="006C5FE3" w:rsidRDefault="006C5FE3" w:rsidP="001C4A46">
      <w:pPr>
        <w:spacing w:after="0" w:line="240" w:lineRule="auto"/>
        <w:jc w:val="both"/>
        <w:rPr>
          <w:rFonts w:ascii="Arial" w:hAnsi="Arial" w:cs="Arial"/>
          <w:sz w:val="22"/>
          <w:szCs w:val="22"/>
        </w:rPr>
      </w:pPr>
    </w:p>
    <w:p w14:paraId="759D035B" w14:textId="77777777" w:rsidR="000E5229" w:rsidRDefault="000E5229" w:rsidP="001C4A46">
      <w:pPr>
        <w:spacing w:after="0" w:line="240" w:lineRule="auto"/>
        <w:jc w:val="both"/>
        <w:rPr>
          <w:rFonts w:ascii="Arial" w:hAnsi="Arial" w:cs="Arial"/>
          <w:sz w:val="22"/>
          <w:szCs w:val="22"/>
        </w:rPr>
      </w:pPr>
    </w:p>
    <w:p w14:paraId="683250FC" w14:textId="77777777" w:rsidR="000E5229" w:rsidRPr="006C5FE3" w:rsidRDefault="000E5229" w:rsidP="001C4A46">
      <w:pPr>
        <w:spacing w:after="0" w:line="240" w:lineRule="auto"/>
        <w:jc w:val="both"/>
        <w:rPr>
          <w:rFonts w:ascii="Arial" w:hAnsi="Arial" w:cs="Arial"/>
          <w:sz w:val="22"/>
          <w:szCs w:val="22"/>
        </w:rPr>
      </w:pPr>
    </w:p>
    <w:p w14:paraId="17D572DC" w14:textId="77777777" w:rsidR="006C5FE3" w:rsidRPr="00CA3F9E" w:rsidRDefault="006C5FE3" w:rsidP="001C4A46">
      <w:pPr>
        <w:spacing w:after="0" w:line="240" w:lineRule="auto"/>
        <w:jc w:val="both"/>
        <w:rPr>
          <w:rFonts w:ascii="Arial" w:hAnsi="Arial" w:cs="Arial"/>
          <w:sz w:val="22"/>
          <w:szCs w:val="22"/>
          <w:u w:val="single"/>
        </w:rPr>
      </w:pPr>
      <w:r w:rsidRPr="00CA3F9E">
        <w:rPr>
          <w:rFonts w:ascii="Arial" w:hAnsi="Arial" w:cs="Arial"/>
          <w:sz w:val="22"/>
          <w:szCs w:val="22"/>
          <w:u w:val="single"/>
        </w:rPr>
        <w:t xml:space="preserve">Vergabeart: </w:t>
      </w:r>
    </w:p>
    <w:p w14:paraId="72A414DF" w14:textId="7BB0811F"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lastRenderedPageBreak/>
        <w:t>Die gewählte Vergabeart ist das offene Verfahren gemäß § 14 Abs. 2 Vergabeverordnung (V</w:t>
      </w:r>
      <w:r w:rsidR="006214E0">
        <w:rPr>
          <w:rFonts w:ascii="Arial" w:hAnsi="Arial" w:cs="Arial"/>
          <w:sz w:val="22"/>
          <w:szCs w:val="22"/>
        </w:rPr>
        <w:t>G</w:t>
      </w:r>
      <w:r w:rsidRPr="006C5FE3">
        <w:rPr>
          <w:rFonts w:ascii="Arial" w:hAnsi="Arial" w:cs="Arial"/>
          <w:sz w:val="22"/>
          <w:szCs w:val="22"/>
        </w:rPr>
        <w:t>V). Architekten- und Ingenieurleistungen werden im Leistungswettbewerb vergeben. Auf die zu erbringende Leistung anwendbare Gebühren- oder Honorarordnungen bleiben unberührt (§ 76 Abs. 1 V</w:t>
      </w:r>
      <w:r w:rsidR="006214E0">
        <w:rPr>
          <w:rFonts w:ascii="Arial" w:hAnsi="Arial" w:cs="Arial"/>
          <w:sz w:val="22"/>
          <w:szCs w:val="22"/>
        </w:rPr>
        <w:t>G</w:t>
      </w:r>
      <w:r w:rsidRPr="006C5FE3">
        <w:rPr>
          <w:rFonts w:ascii="Arial" w:hAnsi="Arial" w:cs="Arial"/>
          <w:sz w:val="22"/>
          <w:szCs w:val="22"/>
        </w:rPr>
        <w:t xml:space="preserve">V). </w:t>
      </w:r>
    </w:p>
    <w:p w14:paraId="1BC19CA2"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Neben dem Honorarpreis kommen weitere Zuschlagskriterien zur Anwendung (vgl. Anlage „Gewichtung der Zuschlagskriterien“). Die Selbstdarstellung / Bewerbung ist formlos jedoch in der Reihenfolge der weiteren Zuschlagskriterien vorzunehmen. Der hierfür zu betreibende Aufwand ist frei und selbstbestimmt. </w:t>
      </w:r>
    </w:p>
    <w:p w14:paraId="6DA2C2CC" w14:textId="2564DA5F"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Es sind keine Lösungsvorschläge i. S. d. § 76 Abs. 2 V</w:t>
      </w:r>
      <w:r w:rsidR="006214E0">
        <w:rPr>
          <w:rFonts w:ascii="Arial" w:hAnsi="Arial" w:cs="Arial"/>
          <w:sz w:val="22"/>
          <w:szCs w:val="22"/>
        </w:rPr>
        <w:t>G</w:t>
      </w:r>
      <w:r w:rsidRPr="006C5FE3">
        <w:rPr>
          <w:rFonts w:ascii="Arial" w:hAnsi="Arial" w:cs="Arial"/>
          <w:sz w:val="22"/>
          <w:szCs w:val="22"/>
        </w:rPr>
        <w:t>V oder Ähnliches zu erarbeiten. Für die Erstellung der Bewerbungs- und Angebotsunterlagen werden keine Kosten erstattet (§ 77 Abs. 1 V</w:t>
      </w:r>
      <w:r w:rsidR="006214E0">
        <w:rPr>
          <w:rFonts w:ascii="Arial" w:hAnsi="Arial" w:cs="Arial"/>
          <w:sz w:val="22"/>
          <w:szCs w:val="22"/>
        </w:rPr>
        <w:t>G</w:t>
      </w:r>
      <w:r w:rsidRPr="006C5FE3">
        <w:rPr>
          <w:rFonts w:ascii="Arial" w:hAnsi="Arial" w:cs="Arial"/>
          <w:sz w:val="22"/>
          <w:szCs w:val="22"/>
        </w:rPr>
        <w:t xml:space="preserve">V). </w:t>
      </w:r>
    </w:p>
    <w:p w14:paraId="1818050C" w14:textId="6EFFD3DE" w:rsid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Das Planungsbüro (Auftragnehmer), welches den Zuschlag erhalten hat, erstellt den Honorarvertrag. Dieser Honorarvertrag ist durch den Auftraggeber gegenzuzeichnen. In diesem Fall sind es zwei Honorarverträge, da als Auftraggeber sowohl die Verbandgemeindewerke Wirges als auch die </w:t>
      </w:r>
      <w:r w:rsidR="000E5229">
        <w:rPr>
          <w:rFonts w:ascii="Arial" w:hAnsi="Arial" w:cs="Arial"/>
          <w:sz w:val="22"/>
          <w:szCs w:val="22"/>
        </w:rPr>
        <w:t>Ortsgemeinde Siershahn</w:t>
      </w:r>
      <w:r w:rsidRPr="006C5FE3">
        <w:rPr>
          <w:rFonts w:ascii="Arial" w:hAnsi="Arial" w:cs="Arial"/>
          <w:sz w:val="22"/>
          <w:szCs w:val="22"/>
        </w:rPr>
        <w:t xml:space="preserve"> fungieren. </w:t>
      </w:r>
    </w:p>
    <w:p w14:paraId="6B4BD06F" w14:textId="77777777" w:rsidR="006214E0" w:rsidRPr="006C5FE3" w:rsidRDefault="006214E0" w:rsidP="001C4A46">
      <w:pPr>
        <w:spacing w:after="0" w:line="240" w:lineRule="auto"/>
        <w:jc w:val="both"/>
        <w:rPr>
          <w:rFonts w:ascii="Arial" w:hAnsi="Arial" w:cs="Arial"/>
          <w:sz w:val="22"/>
          <w:szCs w:val="22"/>
        </w:rPr>
      </w:pPr>
    </w:p>
    <w:p w14:paraId="78D4E808" w14:textId="3D8C4A51" w:rsidR="006C5FE3" w:rsidRPr="006214E0" w:rsidRDefault="006C5FE3" w:rsidP="001C4A46">
      <w:pPr>
        <w:spacing w:after="0" w:line="240" w:lineRule="auto"/>
        <w:jc w:val="both"/>
        <w:rPr>
          <w:rFonts w:ascii="Arial" w:hAnsi="Arial" w:cs="Arial"/>
          <w:sz w:val="22"/>
          <w:szCs w:val="22"/>
          <w:u w:val="single"/>
        </w:rPr>
      </w:pPr>
      <w:r w:rsidRPr="006214E0">
        <w:rPr>
          <w:rFonts w:ascii="Arial" w:hAnsi="Arial" w:cs="Arial"/>
          <w:sz w:val="22"/>
          <w:szCs w:val="22"/>
          <w:u w:val="single"/>
        </w:rPr>
        <w:t>Versicherungsnachweis</w:t>
      </w:r>
    </w:p>
    <w:p w14:paraId="1AD6696E"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Im Honorarvertrag verpflichtet sich das auftragnehmende Planungs- / Ingenieurbüro eine branchentypische Berufshaftpflichtversicherung zu haben oder ggf. abzuschließen mit mindestens folgenden Deckungssummen: </w:t>
      </w:r>
    </w:p>
    <w:p w14:paraId="2E975171"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- 3 Millionen Euro für Personenschäden </w:t>
      </w:r>
    </w:p>
    <w:p w14:paraId="7E1C2387"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- 1 Million Euro für Sach- und Vermögensschäden </w:t>
      </w:r>
    </w:p>
    <w:p w14:paraId="188BFD30"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Der Nachweis ist unaufgefordert vorzulegen. </w:t>
      </w:r>
    </w:p>
    <w:p w14:paraId="312149E5" w14:textId="77777777" w:rsidR="006C5FE3" w:rsidRDefault="006C5FE3" w:rsidP="001C4A46">
      <w:pPr>
        <w:spacing w:after="0" w:line="240" w:lineRule="auto"/>
        <w:jc w:val="both"/>
        <w:rPr>
          <w:rFonts w:ascii="Arial" w:hAnsi="Arial" w:cs="Arial"/>
          <w:b/>
          <w:bCs/>
          <w:sz w:val="22"/>
          <w:szCs w:val="22"/>
        </w:rPr>
      </w:pPr>
    </w:p>
    <w:p w14:paraId="5950E546" w14:textId="1A9E3C42" w:rsidR="006322AF" w:rsidRPr="00CA3F9E" w:rsidRDefault="006C5FE3" w:rsidP="001C4A46">
      <w:pPr>
        <w:spacing w:after="0" w:line="240" w:lineRule="auto"/>
        <w:jc w:val="both"/>
        <w:rPr>
          <w:rFonts w:ascii="Arial" w:hAnsi="Arial" w:cs="Arial"/>
          <w:sz w:val="22"/>
          <w:szCs w:val="22"/>
          <w:u w:val="single"/>
        </w:rPr>
      </w:pPr>
      <w:r w:rsidRPr="00CA3F9E">
        <w:rPr>
          <w:rFonts w:ascii="Arial" w:hAnsi="Arial" w:cs="Arial"/>
          <w:sz w:val="22"/>
          <w:szCs w:val="22"/>
          <w:u w:val="single"/>
        </w:rPr>
        <w:t>Leistungszeit:</w:t>
      </w:r>
    </w:p>
    <w:p w14:paraId="7EB79B7E"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Mit der Planungsleistung ist zwei Wochen nach Auftragserteilung zu beginnen. Die Planung der jeweiligen Maßnahme bzw. die Reihenfolge ist abhängig von der baulichen Umsetzbarkeit bzw. von den einschlägigen Förderbedingungen. Daher wird grundsätzlich die Abstimmung der Vorgehensweise mit der Straßenbaubehörde, Verbandsgemeindeverwaltung Wirges sowie den VG-Werken Wirges als federführende bzw. koordinierende Stellen erforderlich. </w:t>
      </w:r>
    </w:p>
    <w:p w14:paraId="64D5225D"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Die Planungsabschnitte sollen in allen Gewerken, Verkehrsanlagen sowie für die Ingenieurbauwerke auf gleichem Leistungsstand gebracht und gemäß der beauftragten Leistungsphasen dem Auftraggeber bzw. dessen Vertreter erörtert und für den jeweils folgenden Planungsschritt vorabgestimmt werden.  </w:t>
      </w:r>
    </w:p>
    <w:p w14:paraId="5F9431B6"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Daraus ergeben sich folgende Meilensteine für die Bearbeitungszeiten zur Leistungserbringung der jeweiligen Planungsabschnitte: </w:t>
      </w:r>
    </w:p>
    <w:p w14:paraId="5343EA7C"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- 6 – 8 Wochen für die Fertigstellung der Entwurfsplanung (Förderantrag LBM) </w:t>
      </w:r>
    </w:p>
    <w:p w14:paraId="6F8768F1"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- 3 – 6 Wochen für die Fertigstellung der Ausführungsplanung </w:t>
      </w:r>
    </w:p>
    <w:p w14:paraId="38D1D3D9"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- 2 – 3 Wochen für die Vorbereitung der Ausschreibungsunterlagen </w:t>
      </w:r>
    </w:p>
    <w:p w14:paraId="64B8EDB1" w14:textId="77777777" w:rsid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Für den Fall, dass unvorhergesehene Umstände eintreten, die der Auftragnehmer nicht zu vertreten hat, sind die Meilensteine der Terminplanung entsprechend anzupassen.  </w:t>
      </w:r>
    </w:p>
    <w:p w14:paraId="43A3AF55" w14:textId="77777777" w:rsidR="006214E0" w:rsidRPr="006C5FE3" w:rsidRDefault="006214E0" w:rsidP="001C4A46">
      <w:pPr>
        <w:spacing w:after="0" w:line="240" w:lineRule="auto"/>
        <w:jc w:val="both"/>
        <w:rPr>
          <w:rFonts w:ascii="Arial" w:hAnsi="Arial" w:cs="Arial"/>
          <w:sz w:val="22"/>
          <w:szCs w:val="22"/>
        </w:rPr>
      </w:pPr>
    </w:p>
    <w:p w14:paraId="2583928B" w14:textId="45ED9851" w:rsidR="006C5FE3" w:rsidRPr="006214E0" w:rsidRDefault="006C5FE3" w:rsidP="001C4A46">
      <w:pPr>
        <w:spacing w:after="0" w:line="240" w:lineRule="auto"/>
        <w:jc w:val="both"/>
        <w:rPr>
          <w:rFonts w:ascii="Arial" w:hAnsi="Arial" w:cs="Arial"/>
          <w:sz w:val="22"/>
          <w:szCs w:val="22"/>
          <w:u w:val="single"/>
        </w:rPr>
      </w:pPr>
      <w:r w:rsidRPr="006214E0">
        <w:rPr>
          <w:rFonts w:ascii="Arial" w:hAnsi="Arial" w:cs="Arial"/>
          <w:sz w:val="22"/>
          <w:szCs w:val="22"/>
          <w:u w:val="single"/>
        </w:rPr>
        <w:t>Angebotsform- und fristen</w:t>
      </w:r>
    </w:p>
    <w:p w14:paraId="282A6D80" w14:textId="01F8A12F" w:rsidR="006C5FE3" w:rsidRPr="006C5FE3" w:rsidRDefault="006C5FE3" w:rsidP="001C4A46">
      <w:pPr>
        <w:spacing w:after="0" w:line="240" w:lineRule="auto"/>
        <w:jc w:val="both"/>
        <w:rPr>
          <w:rFonts w:ascii="Arial" w:hAnsi="Arial" w:cs="Arial"/>
          <w:sz w:val="22"/>
          <w:szCs w:val="22"/>
        </w:rPr>
      </w:pPr>
      <w:r w:rsidRPr="00F822C2">
        <w:rPr>
          <w:rFonts w:ascii="Arial" w:hAnsi="Arial" w:cs="Arial"/>
          <w:sz w:val="22"/>
          <w:szCs w:val="22"/>
        </w:rPr>
        <w:t>Angebote sind ausschließlich elektronisch in Textform über die Vergabeplattform der DTVP / cosinex einzureichen. Angebotsfrist und Submissionstermin können den Vergabeunterlagen entnommen werden.</w:t>
      </w:r>
      <w:r w:rsidRPr="006C5FE3">
        <w:rPr>
          <w:rFonts w:ascii="Arial" w:hAnsi="Arial" w:cs="Arial"/>
          <w:sz w:val="22"/>
          <w:szCs w:val="22"/>
        </w:rPr>
        <w:t xml:space="preserve"> </w:t>
      </w:r>
    </w:p>
    <w:p w14:paraId="5AE72911" w14:textId="16E3D25B" w:rsidR="007A3625" w:rsidRDefault="007A3625" w:rsidP="001C4A46">
      <w:pPr>
        <w:spacing w:after="0" w:line="240" w:lineRule="auto"/>
        <w:jc w:val="both"/>
        <w:rPr>
          <w:rFonts w:ascii="Arial" w:hAnsi="Arial" w:cs="Arial"/>
          <w:sz w:val="22"/>
          <w:szCs w:val="22"/>
        </w:rPr>
      </w:pPr>
      <w:r w:rsidRPr="007A3625">
        <w:rPr>
          <w:rFonts w:ascii="Arial" w:hAnsi="Arial" w:cs="Arial"/>
          <w:sz w:val="22"/>
          <w:szCs w:val="22"/>
        </w:rPr>
        <w:t>Die bauliche Umsetzung ist für das Jahr 202</w:t>
      </w:r>
      <w:r w:rsidR="006C5FE3" w:rsidRPr="006C5FE3">
        <w:rPr>
          <w:rFonts w:ascii="Arial" w:hAnsi="Arial" w:cs="Arial"/>
          <w:sz w:val="22"/>
          <w:szCs w:val="22"/>
        </w:rPr>
        <w:t>7</w:t>
      </w:r>
      <w:r w:rsidR="006C5FE3">
        <w:rPr>
          <w:rFonts w:ascii="Arial" w:hAnsi="Arial" w:cs="Arial"/>
          <w:sz w:val="22"/>
          <w:szCs w:val="22"/>
        </w:rPr>
        <w:t>/2028</w:t>
      </w:r>
      <w:r w:rsidRPr="007A3625">
        <w:rPr>
          <w:rFonts w:ascii="Arial" w:hAnsi="Arial" w:cs="Arial"/>
          <w:sz w:val="22"/>
          <w:szCs w:val="22"/>
        </w:rPr>
        <w:t> vorgesehen.</w:t>
      </w:r>
    </w:p>
    <w:p w14:paraId="3556EC12" w14:textId="77777777" w:rsidR="001C4A46" w:rsidRPr="007A3625" w:rsidRDefault="001C4A46" w:rsidP="001C4A46">
      <w:pPr>
        <w:spacing w:after="0" w:line="240" w:lineRule="auto"/>
        <w:jc w:val="both"/>
        <w:rPr>
          <w:rFonts w:ascii="Arial" w:hAnsi="Arial" w:cs="Arial"/>
          <w:sz w:val="22"/>
          <w:szCs w:val="22"/>
        </w:rPr>
      </w:pPr>
    </w:p>
    <w:p w14:paraId="332D09EB" w14:textId="77777777" w:rsidR="006C5FE3" w:rsidRPr="006C5FE3" w:rsidRDefault="006C5FE3" w:rsidP="001C4A46">
      <w:pPr>
        <w:spacing w:after="0" w:line="240" w:lineRule="auto"/>
        <w:jc w:val="both"/>
        <w:rPr>
          <w:rFonts w:ascii="Arial" w:hAnsi="Arial" w:cs="Arial"/>
          <w:sz w:val="22"/>
          <w:szCs w:val="22"/>
          <w:u w:val="single"/>
        </w:rPr>
      </w:pPr>
      <w:r w:rsidRPr="006C5FE3">
        <w:rPr>
          <w:rFonts w:ascii="Arial" w:hAnsi="Arial" w:cs="Arial"/>
          <w:sz w:val="22"/>
          <w:szCs w:val="22"/>
          <w:u w:val="single"/>
        </w:rPr>
        <w:t xml:space="preserve">Bindefrist und Beauftragung: </w:t>
      </w:r>
    </w:p>
    <w:p w14:paraId="61E257DB"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 xml:space="preserve">Die Bindefrist beträgt 30 Tage. Da für die Beauftragung im Bedarfsfall ein Gremienbeschluss erforderlich werden kann, bitten wir Sie zu berücksichtigen, dass daraus ggf. eine Verlängerung der Bindefrist erfolgt. </w:t>
      </w:r>
    </w:p>
    <w:p w14:paraId="43516472" w14:textId="77777777" w:rsidR="006C5FE3" w:rsidRPr="006C5FE3" w:rsidRDefault="006C5FE3" w:rsidP="001C4A46">
      <w:pPr>
        <w:spacing w:after="0" w:line="240" w:lineRule="auto"/>
        <w:jc w:val="both"/>
        <w:rPr>
          <w:rFonts w:ascii="Arial" w:hAnsi="Arial" w:cs="Arial"/>
          <w:sz w:val="22"/>
          <w:szCs w:val="22"/>
        </w:rPr>
      </w:pPr>
    </w:p>
    <w:p w14:paraId="248734DE" w14:textId="77777777" w:rsidR="006C5FE3" w:rsidRPr="006C5FE3" w:rsidRDefault="006C5FE3" w:rsidP="001C4A46">
      <w:pPr>
        <w:spacing w:after="0" w:line="240" w:lineRule="auto"/>
        <w:jc w:val="both"/>
        <w:rPr>
          <w:rFonts w:ascii="Arial" w:hAnsi="Arial" w:cs="Arial"/>
          <w:sz w:val="22"/>
          <w:szCs w:val="22"/>
        </w:rPr>
      </w:pPr>
      <w:r w:rsidRPr="006C5FE3">
        <w:rPr>
          <w:rFonts w:ascii="Arial" w:hAnsi="Arial" w:cs="Arial"/>
          <w:sz w:val="22"/>
          <w:szCs w:val="22"/>
        </w:rPr>
        <w:t>Im Auftrag:</w:t>
      </w:r>
    </w:p>
    <w:p w14:paraId="21BC7267" w14:textId="77777777" w:rsidR="000F6DF5" w:rsidRPr="007A3625" w:rsidRDefault="000F6DF5">
      <w:pPr>
        <w:rPr>
          <w:rFonts w:ascii="Arial" w:hAnsi="Arial" w:cs="Arial"/>
          <w:sz w:val="22"/>
          <w:szCs w:val="22"/>
        </w:rPr>
      </w:pPr>
    </w:p>
    <w:sectPr w:rsidR="000F6DF5" w:rsidRPr="007A362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7CAA"/>
    <w:multiLevelType w:val="hybridMultilevel"/>
    <w:tmpl w:val="764A9A2E"/>
    <w:lvl w:ilvl="0" w:tplc="641CFAA6">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AA805B2"/>
    <w:multiLevelType w:val="multilevel"/>
    <w:tmpl w:val="600AD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3BF4C82"/>
    <w:multiLevelType w:val="hybridMultilevel"/>
    <w:tmpl w:val="6958B614"/>
    <w:lvl w:ilvl="0" w:tplc="4CC6D9F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06519D"/>
    <w:multiLevelType w:val="multilevel"/>
    <w:tmpl w:val="7590A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E7757BC"/>
    <w:multiLevelType w:val="multilevel"/>
    <w:tmpl w:val="1E588C26"/>
    <w:lvl w:ilvl="0">
      <w:start w:val="1"/>
      <w:numFmt w:val="decimal"/>
      <w:lvlText w:val="%1."/>
      <w:lvlJc w:val="left"/>
      <w:pPr>
        <w:tabs>
          <w:tab w:val="num" w:pos="1776"/>
        </w:tabs>
        <w:ind w:left="1776" w:hanging="360"/>
      </w:pPr>
    </w:lvl>
    <w:lvl w:ilvl="1" w:tentative="1">
      <w:start w:val="1"/>
      <w:numFmt w:val="decimal"/>
      <w:lvlText w:val="%2."/>
      <w:lvlJc w:val="left"/>
      <w:pPr>
        <w:tabs>
          <w:tab w:val="num" w:pos="2496"/>
        </w:tabs>
        <w:ind w:left="2496" w:hanging="360"/>
      </w:pPr>
    </w:lvl>
    <w:lvl w:ilvl="2" w:tentative="1">
      <w:start w:val="1"/>
      <w:numFmt w:val="decimal"/>
      <w:lvlText w:val="%3."/>
      <w:lvlJc w:val="left"/>
      <w:pPr>
        <w:tabs>
          <w:tab w:val="num" w:pos="3216"/>
        </w:tabs>
        <w:ind w:left="3216" w:hanging="360"/>
      </w:pPr>
    </w:lvl>
    <w:lvl w:ilvl="3" w:tentative="1">
      <w:start w:val="1"/>
      <w:numFmt w:val="decimal"/>
      <w:lvlText w:val="%4."/>
      <w:lvlJc w:val="left"/>
      <w:pPr>
        <w:tabs>
          <w:tab w:val="num" w:pos="3936"/>
        </w:tabs>
        <w:ind w:left="3936" w:hanging="360"/>
      </w:pPr>
    </w:lvl>
    <w:lvl w:ilvl="4" w:tentative="1">
      <w:start w:val="1"/>
      <w:numFmt w:val="decimal"/>
      <w:lvlText w:val="%5."/>
      <w:lvlJc w:val="left"/>
      <w:pPr>
        <w:tabs>
          <w:tab w:val="num" w:pos="4656"/>
        </w:tabs>
        <w:ind w:left="4656" w:hanging="360"/>
      </w:pPr>
    </w:lvl>
    <w:lvl w:ilvl="5" w:tentative="1">
      <w:start w:val="1"/>
      <w:numFmt w:val="decimal"/>
      <w:lvlText w:val="%6."/>
      <w:lvlJc w:val="left"/>
      <w:pPr>
        <w:tabs>
          <w:tab w:val="num" w:pos="5376"/>
        </w:tabs>
        <w:ind w:left="5376" w:hanging="360"/>
      </w:pPr>
    </w:lvl>
    <w:lvl w:ilvl="6" w:tentative="1">
      <w:start w:val="1"/>
      <w:numFmt w:val="decimal"/>
      <w:lvlText w:val="%7."/>
      <w:lvlJc w:val="left"/>
      <w:pPr>
        <w:tabs>
          <w:tab w:val="num" w:pos="6096"/>
        </w:tabs>
        <w:ind w:left="6096" w:hanging="360"/>
      </w:pPr>
    </w:lvl>
    <w:lvl w:ilvl="7" w:tentative="1">
      <w:start w:val="1"/>
      <w:numFmt w:val="decimal"/>
      <w:lvlText w:val="%8."/>
      <w:lvlJc w:val="left"/>
      <w:pPr>
        <w:tabs>
          <w:tab w:val="num" w:pos="6816"/>
        </w:tabs>
        <w:ind w:left="6816" w:hanging="360"/>
      </w:pPr>
    </w:lvl>
    <w:lvl w:ilvl="8" w:tentative="1">
      <w:start w:val="1"/>
      <w:numFmt w:val="decimal"/>
      <w:lvlText w:val="%9."/>
      <w:lvlJc w:val="left"/>
      <w:pPr>
        <w:tabs>
          <w:tab w:val="num" w:pos="7536"/>
        </w:tabs>
        <w:ind w:left="7536" w:hanging="360"/>
      </w:pPr>
    </w:lvl>
  </w:abstractNum>
  <w:abstractNum w:abstractNumId="5" w15:restartNumberingAfterBreak="0">
    <w:nsid w:val="2E7A3116"/>
    <w:multiLevelType w:val="hybridMultilevel"/>
    <w:tmpl w:val="7682C720"/>
    <w:lvl w:ilvl="0" w:tplc="634E1D3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98C76A4"/>
    <w:multiLevelType w:val="multilevel"/>
    <w:tmpl w:val="7E3C4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9172F0F"/>
    <w:multiLevelType w:val="hybridMultilevel"/>
    <w:tmpl w:val="111265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EA83C69"/>
    <w:multiLevelType w:val="hybridMultilevel"/>
    <w:tmpl w:val="85940A12"/>
    <w:lvl w:ilvl="0" w:tplc="12E89390">
      <w:numFmt w:val="bullet"/>
      <w:lvlText w:val="-"/>
      <w:lvlJc w:val="left"/>
      <w:pPr>
        <w:ind w:left="420" w:hanging="360"/>
      </w:pPr>
      <w:rPr>
        <w:rFonts w:ascii="Arial" w:eastAsiaTheme="minorHAnsi" w:hAnsi="Arial" w:cs="Arial"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num w:numId="1" w16cid:durableId="59062251">
    <w:abstractNumId w:val="4"/>
  </w:num>
  <w:num w:numId="2" w16cid:durableId="1999922384">
    <w:abstractNumId w:val="1"/>
  </w:num>
  <w:num w:numId="3" w16cid:durableId="1038581138">
    <w:abstractNumId w:val="6"/>
  </w:num>
  <w:num w:numId="4" w16cid:durableId="1400057804">
    <w:abstractNumId w:val="3"/>
  </w:num>
  <w:num w:numId="5" w16cid:durableId="548302548">
    <w:abstractNumId w:val="7"/>
  </w:num>
  <w:num w:numId="6" w16cid:durableId="2127312330">
    <w:abstractNumId w:val="0"/>
  </w:num>
  <w:num w:numId="7" w16cid:durableId="642930130">
    <w:abstractNumId w:val="2"/>
  </w:num>
  <w:num w:numId="8" w16cid:durableId="1014578567">
    <w:abstractNumId w:val="5"/>
  </w:num>
  <w:num w:numId="9" w16cid:durableId="43348360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625"/>
    <w:rsid w:val="00045D4A"/>
    <w:rsid w:val="000E5229"/>
    <w:rsid w:val="000F6DF5"/>
    <w:rsid w:val="001C4A46"/>
    <w:rsid w:val="00270FD3"/>
    <w:rsid w:val="002E00A8"/>
    <w:rsid w:val="00357095"/>
    <w:rsid w:val="0036378E"/>
    <w:rsid w:val="00433624"/>
    <w:rsid w:val="00494ADE"/>
    <w:rsid w:val="0050487A"/>
    <w:rsid w:val="005808F9"/>
    <w:rsid w:val="006214E0"/>
    <w:rsid w:val="006322AF"/>
    <w:rsid w:val="0066050D"/>
    <w:rsid w:val="00680C42"/>
    <w:rsid w:val="006C5FE3"/>
    <w:rsid w:val="00715C0E"/>
    <w:rsid w:val="007352C3"/>
    <w:rsid w:val="007853B1"/>
    <w:rsid w:val="007A3625"/>
    <w:rsid w:val="00830092"/>
    <w:rsid w:val="008871DB"/>
    <w:rsid w:val="009C1DA5"/>
    <w:rsid w:val="00AC2134"/>
    <w:rsid w:val="00B27CC1"/>
    <w:rsid w:val="00B52FDD"/>
    <w:rsid w:val="00BE7AA9"/>
    <w:rsid w:val="00C42546"/>
    <w:rsid w:val="00C575E5"/>
    <w:rsid w:val="00CA3F9E"/>
    <w:rsid w:val="00CC558D"/>
    <w:rsid w:val="00D81F6E"/>
    <w:rsid w:val="00E27F59"/>
    <w:rsid w:val="00F25EB8"/>
    <w:rsid w:val="00F36576"/>
    <w:rsid w:val="00F444CD"/>
    <w:rsid w:val="00F822C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C30DF2"/>
  <w15:chartTrackingRefBased/>
  <w15:docId w15:val="{0D8C0659-0E87-4306-A402-596AF6243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A362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A362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A362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A362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A362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A362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A362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A362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A362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A362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A362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A362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A362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A362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A362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A362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A362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A3625"/>
    <w:rPr>
      <w:rFonts w:eastAsiaTheme="majorEastAsia" w:cstheme="majorBidi"/>
      <w:color w:val="272727" w:themeColor="text1" w:themeTint="D8"/>
    </w:rPr>
  </w:style>
  <w:style w:type="paragraph" w:styleId="Titel">
    <w:name w:val="Title"/>
    <w:basedOn w:val="Standard"/>
    <w:next w:val="Standard"/>
    <w:link w:val="TitelZchn"/>
    <w:uiPriority w:val="10"/>
    <w:qFormat/>
    <w:rsid w:val="007A362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A362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A362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A362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A362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A3625"/>
    <w:rPr>
      <w:i/>
      <w:iCs/>
      <w:color w:val="404040" w:themeColor="text1" w:themeTint="BF"/>
    </w:rPr>
  </w:style>
  <w:style w:type="paragraph" w:styleId="Listenabsatz">
    <w:name w:val="List Paragraph"/>
    <w:basedOn w:val="Standard"/>
    <w:uiPriority w:val="34"/>
    <w:qFormat/>
    <w:rsid w:val="007A3625"/>
    <w:pPr>
      <w:ind w:left="720"/>
      <w:contextualSpacing/>
    </w:pPr>
  </w:style>
  <w:style w:type="character" w:styleId="IntensiveHervorhebung">
    <w:name w:val="Intense Emphasis"/>
    <w:basedOn w:val="Absatz-Standardschriftart"/>
    <w:uiPriority w:val="21"/>
    <w:qFormat/>
    <w:rsid w:val="007A3625"/>
    <w:rPr>
      <w:i/>
      <w:iCs/>
      <w:color w:val="0F4761" w:themeColor="accent1" w:themeShade="BF"/>
    </w:rPr>
  </w:style>
  <w:style w:type="paragraph" w:styleId="IntensivesZitat">
    <w:name w:val="Intense Quote"/>
    <w:basedOn w:val="Standard"/>
    <w:next w:val="Standard"/>
    <w:link w:val="IntensivesZitatZchn"/>
    <w:uiPriority w:val="30"/>
    <w:qFormat/>
    <w:rsid w:val="007A36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A3625"/>
    <w:rPr>
      <w:i/>
      <w:iCs/>
      <w:color w:val="0F4761" w:themeColor="accent1" w:themeShade="BF"/>
    </w:rPr>
  </w:style>
  <w:style w:type="character" w:styleId="IntensiverVerweis">
    <w:name w:val="Intense Reference"/>
    <w:basedOn w:val="Absatz-Standardschriftart"/>
    <w:uiPriority w:val="32"/>
    <w:qFormat/>
    <w:rsid w:val="007A3625"/>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696136">
      <w:bodyDiv w:val="1"/>
      <w:marLeft w:val="0"/>
      <w:marRight w:val="0"/>
      <w:marTop w:val="0"/>
      <w:marBottom w:val="0"/>
      <w:divBdr>
        <w:top w:val="none" w:sz="0" w:space="0" w:color="auto"/>
        <w:left w:val="none" w:sz="0" w:space="0" w:color="auto"/>
        <w:bottom w:val="none" w:sz="0" w:space="0" w:color="auto"/>
        <w:right w:val="none" w:sz="0" w:space="0" w:color="auto"/>
      </w:divBdr>
      <w:divsChild>
        <w:div w:id="1961911160">
          <w:marLeft w:val="0"/>
          <w:marRight w:val="0"/>
          <w:marTop w:val="180"/>
          <w:marBottom w:val="240"/>
          <w:divBdr>
            <w:top w:val="none" w:sz="0" w:space="0" w:color="auto"/>
            <w:left w:val="none" w:sz="0" w:space="0" w:color="auto"/>
            <w:bottom w:val="none" w:sz="0" w:space="0" w:color="auto"/>
            <w:right w:val="none" w:sz="0" w:space="0" w:color="auto"/>
          </w:divBdr>
        </w:div>
        <w:div w:id="276763206">
          <w:marLeft w:val="0"/>
          <w:marRight w:val="0"/>
          <w:marTop w:val="180"/>
          <w:marBottom w:val="240"/>
          <w:divBdr>
            <w:top w:val="none" w:sz="0" w:space="0" w:color="auto"/>
            <w:left w:val="none" w:sz="0" w:space="0" w:color="auto"/>
            <w:bottom w:val="none" w:sz="0" w:space="0" w:color="auto"/>
            <w:right w:val="none" w:sz="0" w:space="0" w:color="auto"/>
          </w:divBdr>
        </w:div>
      </w:divsChild>
    </w:div>
    <w:div w:id="527180793">
      <w:bodyDiv w:val="1"/>
      <w:marLeft w:val="0"/>
      <w:marRight w:val="0"/>
      <w:marTop w:val="0"/>
      <w:marBottom w:val="0"/>
      <w:divBdr>
        <w:top w:val="none" w:sz="0" w:space="0" w:color="auto"/>
        <w:left w:val="none" w:sz="0" w:space="0" w:color="auto"/>
        <w:bottom w:val="none" w:sz="0" w:space="0" w:color="auto"/>
        <w:right w:val="none" w:sz="0" w:space="0" w:color="auto"/>
      </w:divBdr>
      <w:divsChild>
        <w:div w:id="376467665">
          <w:marLeft w:val="0"/>
          <w:marRight w:val="0"/>
          <w:marTop w:val="180"/>
          <w:marBottom w:val="240"/>
          <w:divBdr>
            <w:top w:val="none" w:sz="0" w:space="0" w:color="auto"/>
            <w:left w:val="none" w:sz="0" w:space="0" w:color="auto"/>
            <w:bottom w:val="none" w:sz="0" w:space="0" w:color="auto"/>
            <w:right w:val="none" w:sz="0" w:space="0" w:color="auto"/>
          </w:divBdr>
        </w:div>
        <w:div w:id="493881732">
          <w:marLeft w:val="0"/>
          <w:marRight w:val="0"/>
          <w:marTop w:val="180"/>
          <w:marBottom w:val="240"/>
          <w:divBdr>
            <w:top w:val="none" w:sz="0" w:space="0" w:color="auto"/>
            <w:left w:val="none" w:sz="0" w:space="0" w:color="auto"/>
            <w:bottom w:val="none" w:sz="0" w:space="0" w:color="auto"/>
            <w:right w:val="none" w:sz="0" w:space="0" w:color="auto"/>
          </w:divBdr>
        </w:div>
      </w:divsChild>
    </w:div>
    <w:div w:id="724179769">
      <w:bodyDiv w:val="1"/>
      <w:marLeft w:val="0"/>
      <w:marRight w:val="0"/>
      <w:marTop w:val="0"/>
      <w:marBottom w:val="0"/>
      <w:divBdr>
        <w:top w:val="none" w:sz="0" w:space="0" w:color="auto"/>
        <w:left w:val="none" w:sz="0" w:space="0" w:color="auto"/>
        <w:bottom w:val="none" w:sz="0" w:space="0" w:color="auto"/>
        <w:right w:val="none" w:sz="0" w:space="0" w:color="auto"/>
      </w:divBdr>
      <w:divsChild>
        <w:div w:id="864682662">
          <w:marLeft w:val="0"/>
          <w:marRight w:val="0"/>
          <w:marTop w:val="180"/>
          <w:marBottom w:val="240"/>
          <w:divBdr>
            <w:top w:val="none" w:sz="0" w:space="0" w:color="auto"/>
            <w:left w:val="none" w:sz="0" w:space="0" w:color="auto"/>
            <w:bottom w:val="none" w:sz="0" w:space="0" w:color="auto"/>
            <w:right w:val="none" w:sz="0" w:space="0" w:color="auto"/>
          </w:divBdr>
        </w:div>
        <w:div w:id="4477556">
          <w:marLeft w:val="0"/>
          <w:marRight w:val="0"/>
          <w:marTop w:val="180"/>
          <w:marBottom w:val="240"/>
          <w:divBdr>
            <w:top w:val="none" w:sz="0" w:space="0" w:color="auto"/>
            <w:left w:val="none" w:sz="0" w:space="0" w:color="auto"/>
            <w:bottom w:val="none" w:sz="0" w:space="0" w:color="auto"/>
            <w:right w:val="none" w:sz="0" w:space="0" w:color="auto"/>
          </w:divBdr>
        </w:div>
        <w:div w:id="1037655805">
          <w:marLeft w:val="0"/>
          <w:marRight w:val="0"/>
          <w:marTop w:val="180"/>
          <w:marBottom w:val="240"/>
          <w:divBdr>
            <w:top w:val="none" w:sz="0" w:space="0" w:color="auto"/>
            <w:left w:val="none" w:sz="0" w:space="0" w:color="auto"/>
            <w:bottom w:val="none" w:sz="0" w:space="0" w:color="auto"/>
            <w:right w:val="none" w:sz="0" w:space="0" w:color="auto"/>
          </w:divBdr>
        </w:div>
      </w:divsChild>
    </w:div>
    <w:div w:id="1320694997">
      <w:bodyDiv w:val="1"/>
      <w:marLeft w:val="0"/>
      <w:marRight w:val="0"/>
      <w:marTop w:val="0"/>
      <w:marBottom w:val="0"/>
      <w:divBdr>
        <w:top w:val="none" w:sz="0" w:space="0" w:color="auto"/>
        <w:left w:val="none" w:sz="0" w:space="0" w:color="auto"/>
        <w:bottom w:val="none" w:sz="0" w:space="0" w:color="auto"/>
        <w:right w:val="none" w:sz="0" w:space="0" w:color="auto"/>
      </w:divBdr>
      <w:divsChild>
        <w:div w:id="819613785">
          <w:marLeft w:val="0"/>
          <w:marRight w:val="0"/>
          <w:marTop w:val="180"/>
          <w:marBottom w:val="240"/>
          <w:divBdr>
            <w:top w:val="none" w:sz="0" w:space="0" w:color="auto"/>
            <w:left w:val="none" w:sz="0" w:space="0" w:color="auto"/>
            <w:bottom w:val="none" w:sz="0" w:space="0" w:color="auto"/>
            <w:right w:val="none" w:sz="0" w:space="0" w:color="auto"/>
          </w:divBdr>
        </w:div>
        <w:div w:id="1294480869">
          <w:marLeft w:val="0"/>
          <w:marRight w:val="0"/>
          <w:marTop w:val="0"/>
          <w:marBottom w:val="0"/>
          <w:divBdr>
            <w:top w:val="none" w:sz="0" w:space="0" w:color="auto"/>
            <w:left w:val="none" w:sz="0" w:space="0" w:color="auto"/>
            <w:bottom w:val="none" w:sz="0" w:space="0" w:color="auto"/>
            <w:right w:val="none" w:sz="0" w:space="0" w:color="auto"/>
          </w:divBdr>
        </w:div>
        <w:div w:id="514929476">
          <w:marLeft w:val="0"/>
          <w:marRight w:val="0"/>
          <w:marTop w:val="180"/>
          <w:marBottom w:val="240"/>
          <w:divBdr>
            <w:top w:val="none" w:sz="0" w:space="0" w:color="auto"/>
            <w:left w:val="none" w:sz="0" w:space="0" w:color="auto"/>
            <w:bottom w:val="none" w:sz="0" w:space="0" w:color="auto"/>
            <w:right w:val="none" w:sz="0" w:space="0" w:color="auto"/>
          </w:divBdr>
        </w:div>
        <w:div w:id="1368867296">
          <w:marLeft w:val="0"/>
          <w:marRight w:val="0"/>
          <w:marTop w:val="0"/>
          <w:marBottom w:val="0"/>
          <w:divBdr>
            <w:top w:val="none" w:sz="0" w:space="0" w:color="auto"/>
            <w:left w:val="none" w:sz="0" w:space="0" w:color="auto"/>
            <w:bottom w:val="none" w:sz="0" w:space="0" w:color="auto"/>
            <w:right w:val="none" w:sz="0" w:space="0" w:color="auto"/>
          </w:divBdr>
        </w:div>
        <w:div w:id="239602089">
          <w:marLeft w:val="0"/>
          <w:marRight w:val="0"/>
          <w:marTop w:val="0"/>
          <w:marBottom w:val="0"/>
          <w:divBdr>
            <w:top w:val="none" w:sz="0" w:space="0" w:color="auto"/>
            <w:left w:val="none" w:sz="0" w:space="0" w:color="auto"/>
            <w:bottom w:val="none" w:sz="0" w:space="0" w:color="auto"/>
            <w:right w:val="none" w:sz="0" w:space="0" w:color="auto"/>
          </w:divBdr>
        </w:div>
      </w:divsChild>
    </w:div>
    <w:div w:id="1628657569">
      <w:bodyDiv w:val="1"/>
      <w:marLeft w:val="0"/>
      <w:marRight w:val="0"/>
      <w:marTop w:val="0"/>
      <w:marBottom w:val="0"/>
      <w:divBdr>
        <w:top w:val="none" w:sz="0" w:space="0" w:color="auto"/>
        <w:left w:val="none" w:sz="0" w:space="0" w:color="auto"/>
        <w:bottom w:val="none" w:sz="0" w:space="0" w:color="auto"/>
        <w:right w:val="none" w:sz="0" w:space="0" w:color="auto"/>
      </w:divBdr>
      <w:divsChild>
        <w:div w:id="394357241">
          <w:marLeft w:val="0"/>
          <w:marRight w:val="0"/>
          <w:marTop w:val="180"/>
          <w:marBottom w:val="240"/>
          <w:divBdr>
            <w:top w:val="none" w:sz="0" w:space="0" w:color="auto"/>
            <w:left w:val="none" w:sz="0" w:space="0" w:color="auto"/>
            <w:bottom w:val="none" w:sz="0" w:space="0" w:color="auto"/>
            <w:right w:val="none" w:sz="0" w:space="0" w:color="auto"/>
          </w:divBdr>
        </w:div>
        <w:div w:id="2046560375">
          <w:marLeft w:val="0"/>
          <w:marRight w:val="0"/>
          <w:marTop w:val="0"/>
          <w:marBottom w:val="0"/>
          <w:divBdr>
            <w:top w:val="none" w:sz="0" w:space="0" w:color="auto"/>
            <w:left w:val="none" w:sz="0" w:space="0" w:color="auto"/>
            <w:bottom w:val="none" w:sz="0" w:space="0" w:color="auto"/>
            <w:right w:val="none" w:sz="0" w:space="0" w:color="auto"/>
          </w:divBdr>
        </w:div>
        <w:div w:id="1442340500">
          <w:marLeft w:val="0"/>
          <w:marRight w:val="0"/>
          <w:marTop w:val="180"/>
          <w:marBottom w:val="240"/>
          <w:divBdr>
            <w:top w:val="none" w:sz="0" w:space="0" w:color="auto"/>
            <w:left w:val="none" w:sz="0" w:space="0" w:color="auto"/>
            <w:bottom w:val="none" w:sz="0" w:space="0" w:color="auto"/>
            <w:right w:val="none" w:sz="0" w:space="0" w:color="auto"/>
          </w:divBdr>
        </w:div>
        <w:div w:id="2092775751">
          <w:marLeft w:val="0"/>
          <w:marRight w:val="0"/>
          <w:marTop w:val="0"/>
          <w:marBottom w:val="0"/>
          <w:divBdr>
            <w:top w:val="none" w:sz="0" w:space="0" w:color="auto"/>
            <w:left w:val="none" w:sz="0" w:space="0" w:color="auto"/>
            <w:bottom w:val="none" w:sz="0" w:space="0" w:color="auto"/>
            <w:right w:val="none" w:sz="0" w:space="0" w:color="auto"/>
          </w:divBdr>
        </w:div>
        <w:div w:id="265507636">
          <w:marLeft w:val="0"/>
          <w:marRight w:val="0"/>
          <w:marTop w:val="0"/>
          <w:marBottom w:val="0"/>
          <w:divBdr>
            <w:top w:val="none" w:sz="0" w:space="0" w:color="auto"/>
            <w:left w:val="none" w:sz="0" w:space="0" w:color="auto"/>
            <w:bottom w:val="none" w:sz="0" w:space="0" w:color="auto"/>
            <w:right w:val="none" w:sz="0" w:space="0" w:color="auto"/>
          </w:divBdr>
        </w:div>
      </w:divsChild>
    </w:div>
    <w:div w:id="1939826394">
      <w:bodyDiv w:val="1"/>
      <w:marLeft w:val="0"/>
      <w:marRight w:val="0"/>
      <w:marTop w:val="0"/>
      <w:marBottom w:val="0"/>
      <w:divBdr>
        <w:top w:val="none" w:sz="0" w:space="0" w:color="auto"/>
        <w:left w:val="none" w:sz="0" w:space="0" w:color="auto"/>
        <w:bottom w:val="none" w:sz="0" w:space="0" w:color="auto"/>
        <w:right w:val="none" w:sz="0" w:space="0" w:color="auto"/>
      </w:divBdr>
      <w:divsChild>
        <w:div w:id="236980144">
          <w:marLeft w:val="0"/>
          <w:marRight w:val="0"/>
          <w:marTop w:val="180"/>
          <w:marBottom w:val="240"/>
          <w:divBdr>
            <w:top w:val="none" w:sz="0" w:space="0" w:color="auto"/>
            <w:left w:val="none" w:sz="0" w:space="0" w:color="auto"/>
            <w:bottom w:val="none" w:sz="0" w:space="0" w:color="auto"/>
            <w:right w:val="none" w:sz="0" w:space="0" w:color="auto"/>
          </w:divBdr>
        </w:div>
        <w:div w:id="2041852685">
          <w:marLeft w:val="0"/>
          <w:marRight w:val="0"/>
          <w:marTop w:val="180"/>
          <w:marBottom w:val="240"/>
          <w:divBdr>
            <w:top w:val="none" w:sz="0" w:space="0" w:color="auto"/>
            <w:left w:val="none" w:sz="0" w:space="0" w:color="auto"/>
            <w:bottom w:val="none" w:sz="0" w:space="0" w:color="auto"/>
            <w:right w:val="none" w:sz="0" w:space="0" w:color="auto"/>
          </w:divBdr>
        </w:div>
        <w:div w:id="426460781">
          <w:marLeft w:val="0"/>
          <w:marRight w:val="0"/>
          <w:marTop w:val="180"/>
          <w:marBottom w:val="240"/>
          <w:divBdr>
            <w:top w:val="none" w:sz="0" w:space="0" w:color="auto"/>
            <w:left w:val="none" w:sz="0" w:space="0" w:color="auto"/>
            <w:bottom w:val="none" w:sz="0" w:space="0" w:color="auto"/>
            <w:right w:val="none" w:sz="0" w:space="0" w:color="auto"/>
          </w:divBdr>
        </w:div>
      </w:divsChild>
    </w:div>
    <w:div w:id="1964070443">
      <w:bodyDiv w:val="1"/>
      <w:marLeft w:val="0"/>
      <w:marRight w:val="0"/>
      <w:marTop w:val="0"/>
      <w:marBottom w:val="0"/>
      <w:divBdr>
        <w:top w:val="none" w:sz="0" w:space="0" w:color="auto"/>
        <w:left w:val="none" w:sz="0" w:space="0" w:color="auto"/>
        <w:bottom w:val="none" w:sz="0" w:space="0" w:color="auto"/>
        <w:right w:val="none" w:sz="0" w:space="0" w:color="auto"/>
      </w:divBdr>
      <w:divsChild>
        <w:div w:id="149905422">
          <w:marLeft w:val="0"/>
          <w:marRight w:val="0"/>
          <w:marTop w:val="180"/>
          <w:marBottom w:val="240"/>
          <w:divBdr>
            <w:top w:val="none" w:sz="0" w:space="0" w:color="auto"/>
            <w:left w:val="none" w:sz="0" w:space="0" w:color="auto"/>
            <w:bottom w:val="none" w:sz="0" w:space="0" w:color="auto"/>
            <w:right w:val="none" w:sz="0" w:space="0" w:color="auto"/>
          </w:divBdr>
        </w:div>
        <w:div w:id="558714080">
          <w:marLeft w:val="0"/>
          <w:marRight w:val="0"/>
          <w:marTop w:val="180"/>
          <w:marBottom w:val="240"/>
          <w:divBdr>
            <w:top w:val="none" w:sz="0" w:space="0" w:color="auto"/>
            <w:left w:val="none" w:sz="0" w:space="0" w:color="auto"/>
            <w:bottom w:val="none" w:sz="0" w:space="0" w:color="auto"/>
            <w:right w:val="none" w:sz="0" w:space="0" w:color="auto"/>
          </w:divBdr>
        </w:div>
        <w:div w:id="1508325987">
          <w:marLeft w:val="0"/>
          <w:marRight w:val="0"/>
          <w:marTop w:val="180"/>
          <w:marBottom w:val="240"/>
          <w:divBdr>
            <w:top w:val="none" w:sz="0" w:space="0" w:color="auto"/>
            <w:left w:val="none" w:sz="0" w:space="0" w:color="auto"/>
            <w:bottom w:val="none" w:sz="0" w:space="0" w:color="auto"/>
            <w:right w:val="none" w:sz="0" w:space="0" w:color="auto"/>
          </w:divBdr>
        </w:div>
      </w:divsChild>
    </w:div>
    <w:div w:id="2058696608">
      <w:bodyDiv w:val="1"/>
      <w:marLeft w:val="0"/>
      <w:marRight w:val="0"/>
      <w:marTop w:val="0"/>
      <w:marBottom w:val="0"/>
      <w:divBdr>
        <w:top w:val="none" w:sz="0" w:space="0" w:color="auto"/>
        <w:left w:val="none" w:sz="0" w:space="0" w:color="auto"/>
        <w:bottom w:val="none" w:sz="0" w:space="0" w:color="auto"/>
        <w:right w:val="none" w:sz="0" w:space="0" w:color="auto"/>
      </w:divBdr>
      <w:divsChild>
        <w:div w:id="1682589898">
          <w:marLeft w:val="0"/>
          <w:marRight w:val="0"/>
          <w:marTop w:val="180"/>
          <w:marBottom w:val="240"/>
          <w:divBdr>
            <w:top w:val="none" w:sz="0" w:space="0" w:color="auto"/>
            <w:left w:val="none" w:sz="0" w:space="0" w:color="auto"/>
            <w:bottom w:val="none" w:sz="0" w:space="0" w:color="auto"/>
            <w:right w:val="none" w:sz="0" w:space="0" w:color="auto"/>
          </w:divBdr>
        </w:div>
        <w:div w:id="2089502053">
          <w:marLeft w:val="0"/>
          <w:marRight w:val="0"/>
          <w:marTop w:val="180"/>
          <w:marBottom w:val="240"/>
          <w:divBdr>
            <w:top w:val="none" w:sz="0" w:space="0" w:color="auto"/>
            <w:left w:val="none" w:sz="0" w:space="0" w:color="auto"/>
            <w:bottom w:val="none" w:sz="0" w:space="0" w:color="auto"/>
            <w:right w:val="none" w:sz="0" w:space="0" w:color="auto"/>
          </w:divBdr>
        </w:div>
        <w:div w:id="1122847772">
          <w:marLeft w:val="0"/>
          <w:marRight w:val="0"/>
          <w:marTop w:val="18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5D86B-3A96-42E4-88C3-BCD257E28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1506</Words>
  <Characters>9493</Characters>
  <Application>Microsoft Office Word</Application>
  <DocSecurity>0</DocSecurity>
  <Lines>79</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Otschkowski, Wlad - VG Wirges</dc:creator>
  <cp:keywords/>
  <dc:description/>
  <cp:lastModifiedBy>Otschkowski, Wlad - VG Wirges</cp:lastModifiedBy>
  <cp:revision>24</cp:revision>
  <cp:lastPrinted>2026-05-18T08:49:00Z</cp:lastPrinted>
  <dcterms:created xsi:type="dcterms:W3CDTF">2026-04-20T13:03:00Z</dcterms:created>
  <dcterms:modified xsi:type="dcterms:W3CDTF">2026-06-01T07:41:00Z</dcterms:modified>
</cp:coreProperties>
</file>