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91D9" w14:textId="19A9AAFE" w:rsidR="007A3625" w:rsidRPr="007A3625" w:rsidRDefault="007A3625" w:rsidP="007A3625">
      <w:pPr>
        <w:jc w:val="center"/>
        <w:rPr>
          <w:rFonts w:ascii="Arial" w:hAnsi="Arial" w:cs="Arial"/>
          <w:b/>
          <w:bCs/>
        </w:rPr>
      </w:pPr>
      <w:r w:rsidRPr="007A3625">
        <w:rPr>
          <w:rFonts w:ascii="Arial" w:hAnsi="Arial" w:cs="Arial"/>
          <w:b/>
          <w:bCs/>
        </w:rPr>
        <w:t>Leistungsbeschreibung</w:t>
      </w:r>
    </w:p>
    <w:p w14:paraId="3C6E5B0C" w14:textId="438860EF" w:rsidR="007A3625" w:rsidRPr="007A3625" w:rsidRDefault="007A3625" w:rsidP="001C4A46">
      <w:pPr>
        <w:spacing w:after="0" w:line="240" w:lineRule="auto"/>
        <w:rPr>
          <w:rFonts w:ascii="Arial" w:hAnsi="Arial" w:cs="Arial"/>
          <w:sz w:val="22"/>
          <w:szCs w:val="22"/>
        </w:rPr>
      </w:pPr>
      <w:r w:rsidRPr="007A3625">
        <w:rPr>
          <w:rFonts w:ascii="Arial" w:hAnsi="Arial" w:cs="Arial"/>
          <w:sz w:val="22"/>
          <w:szCs w:val="22"/>
        </w:rPr>
        <w:t>Maßnahme: </w:t>
      </w:r>
      <w:r>
        <w:rPr>
          <w:rFonts w:ascii="Arial" w:hAnsi="Arial" w:cs="Arial"/>
          <w:sz w:val="22"/>
          <w:szCs w:val="22"/>
        </w:rPr>
        <w:tab/>
      </w:r>
      <w:r w:rsidR="00521D74">
        <w:rPr>
          <w:rFonts w:ascii="Arial" w:hAnsi="Arial" w:cs="Arial"/>
          <w:sz w:val="22"/>
          <w:szCs w:val="22"/>
        </w:rPr>
        <w:t>Erstmalige endgültige Herstellung des Boschrings in Wirges</w:t>
      </w:r>
      <w:r w:rsidRPr="007A3625">
        <w:rPr>
          <w:rFonts w:ascii="Arial" w:hAnsi="Arial" w:cs="Arial"/>
          <w:sz w:val="22"/>
          <w:szCs w:val="22"/>
        </w:rPr>
        <w:br/>
        <w:t>Leistung: </w:t>
      </w:r>
      <w:r>
        <w:rPr>
          <w:rFonts w:ascii="Arial" w:hAnsi="Arial" w:cs="Arial"/>
          <w:sz w:val="22"/>
          <w:szCs w:val="22"/>
        </w:rPr>
        <w:tab/>
      </w:r>
      <w:r w:rsidRPr="007A3625">
        <w:rPr>
          <w:rFonts w:ascii="Arial" w:hAnsi="Arial" w:cs="Arial"/>
          <w:sz w:val="22"/>
          <w:szCs w:val="22"/>
        </w:rPr>
        <w:t>Planungsleistung gemäß HOAI für</w:t>
      </w:r>
    </w:p>
    <w:p w14:paraId="70A7A204" w14:textId="68E20CE8" w:rsidR="007A3625" w:rsidRPr="007A3625" w:rsidRDefault="007A3625" w:rsidP="00521D74">
      <w:pPr>
        <w:spacing w:after="0" w:line="240" w:lineRule="auto"/>
        <w:ind w:left="708" w:firstLine="708"/>
        <w:rPr>
          <w:rFonts w:ascii="Arial" w:hAnsi="Arial" w:cs="Arial"/>
          <w:sz w:val="22"/>
          <w:szCs w:val="22"/>
        </w:rPr>
      </w:pPr>
      <w:r w:rsidRPr="007A3625">
        <w:rPr>
          <w:rFonts w:ascii="Arial" w:hAnsi="Arial" w:cs="Arial"/>
          <w:sz w:val="22"/>
          <w:szCs w:val="22"/>
        </w:rPr>
        <w:t>Verkehrsanlagen LPH 3</w:t>
      </w:r>
      <w:r w:rsidR="00270FD3">
        <w:rPr>
          <w:rFonts w:ascii="Arial" w:hAnsi="Arial" w:cs="Arial"/>
          <w:sz w:val="22"/>
          <w:szCs w:val="22"/>
        </w:rPr>
        <w:t>, 5</w:t>
      </w:r>
      <w:r w:rsidRPr="007A3625">
        <w:rPr>
          <w:rFonts w:ascii="Arial" w:hAnsi="Arial" w:cs="Arial"/>
          <w:sz w:val="22"/>
          <w:szCs w:val="22"/>
        </w:rPr>
        <w:t>-9</w:t>
      </w:r>
      <w:r w:rsidR="002E00A8">
        <w:rPr>
          <w:rFonts w:ascii="Arial" w:hAnsi="Arial" w:cs="Arial"/>
          <w:sz w:val="22"/>
          <w:szCs w:val="22"/>
        </w:rPr>
        <w:tab/>
      </w:r>
      <w:r w:rsidRPr="007A3625">
        <w:rPr>
          <w:rFonts w:ascii="Arial" w:hAnsi="Arial" w:cs="Arial"/>
          <w:sz w:val="22"/>
          <w:szCs w:val="22"/>
        </w:rPr>
        <w:t xml:space="preserve">Auftraggeber </w:t>
      </w:r>
      <w:r w:rsidR="00D87CD1">
        <w:rPr>
          <w:rFonts w:ascii="Arial" w:hAnsi="Arial" w:cs="Arial"/>
          <w:sz w:val="22"/>
          <w:szCs w:val="22"/>
        </w:rPr>
        <w:t>Stadt Wirges</w:t>
      </w:r>
    </w:p>
    <w:p w14:paraId="17072C03" w14:textId="77777777" w:rsidR="002E00A8" w:rsidRPr="007A3625" w:rsidRDefault="002E00A8" w:rsidP="001C4A46">
      <w:pPr>
        <w:spacing w:after="0" w:line="240" w:lineRule="auto"/>
        <w:ind w:left="1775"/>
        <w:rPr>
          <w:rFonts w:ascii="Arial" w:hAnsi="Arial" w:cs="Arial"/>
          <w:sz w:val="22"/>
          <w:szCs w:val="22"/>
        </w:rPr>
      </w:pPr>
    </w:p>
    <w:p w14:paraId="7FC2296D" w14:textId="77777777" w:rsidR="007A3625" w:rsidRPr="007A3625" w:rsidRDefault="007A3625" w:rsidP="001C4A46">
      <w:pPr>
        <w:spacing w:after="0" w:line="240" w:lineRule="auto"/>
        <w:rPr>
          <w:rFonts w:ascii="Arial" w:hAnsi="Arial" w:cs="Arial"/>
          <w:sz w:val="22"/>
          <w:szCs w:val="22"/>
        </w:rPr>
      </w:pPr>
      <w:r w:rsidRPr="007A3625">
        <w:rPr>
          <w:rFonts w:ascii="Arial" w:hAnsi="Arial" w:cs="Arial"/>
          <w:b/>
          <w:bCs/>
          <w:sz w:val="22"/>
          <w:szCs w:val="22"/>
          <w:highlight w:val="yellow"/>
        </w:rPr>
        <w:t>Vergabenummer:</w:t>
      </w:r>
      <w:r w:rsidRPr="007A3625">
        <w:rPr>
          <w:rFonts w:ascii="Arial" w:hAnsi="Arial" w:cs="Arial"/>
          <w:sz w:val="22"/>
          <w:szCs w:val="22"/>
          <w:highlight w:val="yellow"/>
        </w:rPr>
        <w:t> XXXXXXX</w:t>
      </w:r>
    </w:p>
    <w:p w14:paraId="09E24737" w14:textId="710AF61B" w:rsidR="001C4A46" w:rsidRDefault="004D6FCB" w:rsidP="007E25DB">
      <w:pPr>
        <w:rPr>
          <w:rFonts w:ascii="Arial" w:hAnsi="Arial" w:cs="Arial"/>
          <w:sz w:val="22"/>
          <w:szCs w:val="22"/>
        </w:rPr>
      </w:pPr>
      <w:r w:rsidRPr="004D6FCB">
        <w:rPr>
          <w:rFonts w:ascii="Arial" w:hAnsi="Arial" w:cs="Arial"/>
          <w:sz w:val="22"/>
          <w:szCs w:val="22"/>
        </w:rPr>
        <w:t>Die Verbandsgemeindeverwaltung Wirges schreibt im Namen der Stadt Wirges die Planungsleistungen für die finale Herstellung der Erschließungsanlage „Boschring“ in der Stadt Wirges öffentlich aus.</w:t>
      </w:r>
    </w:p>
    <w:p w14:paraId="57D402D7" w14:textId="39EC4054" w:rsidR="00C42546" w:rsidRDefault="00C42546" w:rsidP="001C4A46">
      <w:pPr>
        <w:spacing w:after="0" w:line="240" w:lineRule="auto"/>
        <w:rPr>
          <w:rFonts w:ascii="Arial" w:hAnsi="Arial" w:cs="Arial"/>
          <w:sz w:val="22"/>
          <w:szCs w:val="22"/>
        </w:rPr>
      </w:pPr>
      <w:r>
        <w:rPr>
          <w:rFonts w:ascii="Arial" w:hAnsi="Arial" w:cs="Arial"/>
          <w:sz w:val="22"/>
          <w:szCs w:val="22"/>
        </w:rPr>
        <w:t>Der Planungsbereich stellt sich wie folgt dar:</w:t>
      </w:r>
    </w:p>
    <w:p w14:paraId="4E279FB7" w14:textId="1382ADDD" w:rsidR="00C42546" w:rsidRPr="007A3625" w:rsidRDefault="004D6FCB" w:rsidP="007A3625">
      <w:pPr>
        <w:rPr>
          <w:rFonts w:ascii="Arial" w:hAnsi="Arial" w:cs="Arial"/>
          <w:sz w:val="22"/>
          <w:szCs w:val="22"/>
        </w:rPr>
      </w:pPr>
      <w:r w:rsidRPr="004D6FCB">
        <w:rPr>
          <w:rFonts w:ascii="Arial" w:hAnsi="Arial" w:cs="Arial"/>
          <w:noProof/>
          <w:sz w:val="22"/>
          <w:szCs w:val="22"/>
        </w:rPr>
        <w:drawing>
          <wp:inline distT="0" distB="0" distL="0" distR="0" wp14:anchorId="1754B69A" wp14:editId="564D1959">
            <wp:extent cx="5760720" cy="36385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638550"/>
                    </a:xfrm>
                    <a:prstGeom prst="rect">
                      <a:avLst/>
                    </a:prstGeom>
                  </pic:spPr>
                </pic:pic>
              </a:graphicData>
            </a:graphic>
          </wp:inline>
        </w:drawing>
      </w:r>
    </w:p>
    <w:p w14:paraId="1C5883C6" w14:textId="77777777" w:rsidR="007A3625" w:rsidRPr="007A3625" w:rsidRDefault="007A3625" w:rsidP="001C4A46">
      <w:pPr>
        <w:spacing w:after="0" w:line="240" w:lineRule="auto"/>
        <w:jc w:val="both"/>
        <w:rPr>
          <w:rFonts w:ascii="Arial" w:hAnsi="Arial" w:cs="Arial"/>
          <w:sz w:val="22"/>
          <w:szCs w:val="22"/>
        </w:rPr>
      </w:pPr>
      <w:r w:rsidRPr="007A3625">
        <w:rPr>
          <w:rFonts w:ascii="Arial" w:hAnsi="Arial" w:cs="Arial"/>
          <w:b/>
          <w:bCs/>
          <w:sz w:val="22"/>
          <w:szCs w:val="22"/>
        </w:rPr>
        <w:t>Geplante Gewerke:</w:t>
      </w:r>
    </w:p>
    <w:p w14:paraId="1E8FF29A" w14:textId="1B24CD41" w:rsidR="007A3625" w:rsidRPr="00EC0FF1" w:rsidRDefault="007A3625" w:rsidP="00EC0FF1">
      <w:pPr>
        <w:spacing w:after="0" w:line="240" w:lineRule="auto"/>
        <w:jc w:val="both"/>
        <w:rPr>
          <w:rFonts w:ascii="Arial" w:hAnsi="Arial" w:cs="Arial"/>
          <w:sz w:val="22"/>
          <w:szCs w:val="22"/>
        </w:rPr>
      </w:pPr>
      <w:r w:rsidRPr="00EC0FF1">
        <w:rPr>
          <w:rFonts w:ascii="Arial" w:hAnsi="Arial" w:cs="Arial"/>
          <w:sz w:val="22"/>
          <w:szCs w:val="22"/>
        </w:rPr>
        <w:t xml:space="preserve">Verkehrsanlage in Asphaltbauweise </w:t>
      </w:r>
      <w:r w:rsidR="00EC0FF1">
        <w:rPr>
          <w:rFonts w:ascii="Arial" w:hAnsi="Arial" w:cs="Arial"/>
          <w:sz w:val="22"/>
          <w:szCs w:val="22"/>
        </w:rPr>
        <w:t>mit Gehweg.</w:t>
      </w:r>
    </w:p>
    <w:p w14:paraId="230CB28B" w14:textId="77777777" w:rsidR="001C4A46" w:rsidRPr="00F36576" w:rsidRDefault="001C4A46" w:rsidP="001C4A46">
      <w:pPr>
        <w:pStyle w:val="Listenabsatz"/>
        <w:spacing w:after="0" w:line="240" w:lineRule="auto"/>
        <w:jc w:val="both"/>
        <w:rPr>
          <w:rFonts w:ascii="Arial" w:hAnsi="Arial" w:cs="Arial"/>
          <w:sz w:val="22"/>
          <w:szCs w:val="22"/>
        </w:rPr>
      </w:pPr>
    </w:p>
    <w:p w14:paraId="135AC4C1" w14:textId="35551957" w:rsidR="007A3625" w:rsidRPr="007A3625" w:rsidRDefault="007A3625" w:rsidP="001C4A46">
      <w:pPr>
        <w:spacing w:after="0" w:line="240" w:lineRule="auto"/>
        <w:jc w:val="both"/>
        <w:rPr>
          <w:rFonts w:ascii="Arial" w:hAnsi="Arial" w:cs="Arial"/>
          <w:b/>
          <w:bCs/>
          <w:sz w:val="22"/>
          <w:szCs w:val="22"/>
        </w:rPr>
      </w:pPr>
      <w:r w:rsidRPr="007A3625">
        <w:rPr>
          <w:rFonts w:ascii="Arial" w:hAnsi="Arial" w:cs="Arial"/>
          <w:b/>
          <w:bCs/>
          <w:sz w:val="22"/>
          <w:szCs w:val="22"/>
        </w:rPr>
        <w:t>Beschreibung des Projektareals</w:t>
      </w:r>
      <w:r w:rsidR="000A6FBA">
        <w:rPr>
          <w:rFonts w:ascii="Arial" w:hAnsi="Arial" w:cs="Arial"/>
          <w:b/>
          <w:bCs/>
          <w:sz w:val="22"/>
          <w:szCs w:val="22"/>
        </w:rPr>
        <w:t xml:space="preserve"> und der Maßnahme:</w:t>
      </w:r>
    </w:p>
    <w:p w14:paraId="1D41E0B3" w14:textId="5311D440" w:rsidR="00BE7AA9" w:rsidRPr="00C51D87" w:rsidRDefault="00624745" w:rsidP="00C51D87">
      <w:pPr>
        <w:spacing w:after="0" w:line="240" w:lineRule="auto"/>
        <w:jc w:val="both"/>
        <w:rPr>
          <w:rFonts w:ascii="Arial" w:hAnsi="Arial" w:cs="Arial"/>
          <w:sz w:val="22"/>
          <w:szCs w:val="22"/>
        </w:rPr>
      </w:pPr>
      <w:r w:rsidRPr="00C51D87">
        <w:rPr>
          <w:rFonts w:ascii="Arial" w:hAnsi="Arial" w:cs="Arial"/>
          <w:sz w:val="22"/>
          <w:szCs w:val="22"/>
        </w:rPr>
        <w:t>Der Boschring liegt im Gewerbegebiet der Stadt Wirges im Westerwaldkreis. Die Straße bewältigt durch die angesiedelten Unternehmen ein kontinuierliches Aufkommen an Anlieger- und teils schwerem Zulieferverkehr. Der im Jahr 2001 fertiggestellte Vorstufenausbau weist mittlerweile mittlere bis starke Beschädigungen in Form von Rissbildungen, Asphaltausbrüchen sowie ausgefahrenen Bankettbereichen durch parkende Fahrzeuge auf.</w:t>
      </w:r>
    </w:p>
    <w:p w14:paraId="7838E91A" w14:textId="271675FA" w:rsidR="00624745" w:rsidRPr="00C51D87" w:rsidRDefault="00624745" w:rsidP="00C51D87">
      <w:pPr>
        <w:spacing w:after="0" w:line="240" w:lineRule="auto"/>
        <w:jc w:val="both"/>
        <w:rPr>
          <w:rFonts w:ascii="Arial" w:hAnsi="Arial" w:cs="Arial"/>
          <w:sz w:val="22"/>
          <w:szCs w:val="22"/>
        </w:rPr>
      </w:pPr>
      <w:r w:rsidRPr="00C51D87">
        <w:rPr>
          <w:rFonts w:ascii="Arial" w:hAnsi="Arial" w:cs="Arial"/>
          <w:sz w:val="22"/>
          <w:szCs w:val="22"/>
        </w:rPr>
        <w:t xml:space="preserve">Ziel der </w:t>
      </w:r>
      <w:r w:rsidR="0089640A">
        <w:rPr>
          <w:rFonts w:ascii="Arial" w:hAnsi="Arial" w:cs="Arial"/>
          <w:sz w:val="22"/>
          <w:szCs w:val="22"/>
        </w:rPr>
        <w:t>Planung</w:t>
      </w:r>
      <w:r w:rsidRPr="00C51D87">
        <w:rPr>
          <w:rFonts w:ascii="Arial" w:hAnsi="Arial" w:cs="Arial"/>
          <w:sz w:val="22"/>
          <w:szCs w:val="22"/>
        </w:rPr>
        <w:t xml:space="preserve"> ist die funktionale Neuordnung des Straßenraums unter Beibehaltung der Erschließungsfunktion für die Grundstücke. Die Erneuerung der unterirdischen Ver- und Entsorgungseinrichtungen (Kanalisation im Trennsystem, Trinkwasser-Ringleitung</w:t>
      </w:r>
      <w:r w:rsidR="00C51D87">
        <w:rPr>
          <w:rFonts w:ascii="Arial" w:hAnsi="Arial" w:cs="Arial"/>
          <w:sz w:val="22"/>
          <w:szCs w:val="22"/>
        </w:rPr>
        <w:t>)</w:t>
      </w:r>
      <w:r w:rsidRPr="00C51D87">
        <w:rPr>
          <w:rFonts w:ascii="Arial" w:hAnsi="Arial" w:cs="Arial"/>
          <w:sz w:val="22"/>
          <w:szCs w:val="22"/>
        </w:rPr>
        <w:t xml:space="preserve"> verbleibt im Bestand und ist nicht Gegenstand dieser Planungsmaßnahme.</w:t>
      </w:r>
    </w:p>
    <w:p w14:paraId="4CA2C6A1" w14:textId="255246D3" w:rsidR="00624745" w:rsidRPr="00C51D87" w:rsidRDefault="00624745" w:rsidP="00C51D87">
      <w:pPr>
        <w:spacing w:after="0" w:line="240" w:lineRule="auto"/>
        <w:jc w:val="both"/>
        <w:rPr>
          <w:rFonts w:ascii="Arial" w:hAnsi="Arial" w:cs="Arial"/>
          <w:sz w:val="22"/>
          <w:szCs w:val="22"/>
        </w:rPr>
      </w:pPr>
      <w:r w:rsidRPr="00C51D87">
        <w:rPr>
          <w:rFonts w:ascii="Arial" w:hAnsi="Arial" w:cs="Arial"/>
          <w:sz w:val="22"/>
          <w:szCs w:val="22"/>
        </w:rPr>
        <w:t xml:space="preserve">Die Höhenplanung </w:t>
      </w:r>
      <w:r w:rsidR="0089640A">
        <w:rPr>
          <w:rFonts w:ascii="Arial" w:hAnsi="Arial" w:cs="Arial"/>
          <w:sz w:val="22"/>
          <w:szCs w:val="22"/>
        </w:rPr>
        <w:t>richtet sich nach</w:t>
      </w:r>
      <w:r w:rsidRPr="00C51D87">
        <w:rPr>
          <w:rFonts w:ascii="Arial" w:hAnsi="Arial" w:cs="Arial"/>
          <w:sz w:val="22"/>
          <w:szCs w:val="22"/>
        </w:rPr>
        <w:t xml:space="preserve"> dem Bestand und sieht eine Oberflächenentwässerung über eine einseitige Querneigung</w:t>
      </w:r>
      <w:r w:rsidR="0089640A">
        <w:rPr>
          <w:rFonts w:ascii="Arial" w:hAnsi="Arial" w:cs="Arial"/>
          <w:sz w:val="22"/>
          <w:szCs w:val="22"/>
        </w:rPr>
        <w:t xml:space="preserve"> vor.</w:t>
      </w:r>
    </w:p>
    <w:p w14:paraId="549F88C9" w14:textId="3C3A8709" w:rsidR="00C51D87" w:rsidRPr="00C51D87" w:rsidRDefault="00624745" w:rsidP="00C51D87">
      <w:pPr>
        <w:spacing w:after="0" w:line="240" w:lineRule="auto"/>
        <w:jc w:val="both"/>
        <w:rPr>
          <w:rFonts w:ascii="Arial" w:hAnsi="Arial" w:cs="Arial"/>
          <w:sz w:val="22"/>
          <w:szCs w:val="22"/>
        </w:rPr>
      </w:pPr>
      <w:r w:rsidRPr="00C51D87">
        <w:rPr>
          <w:rFonts w:ascii="Arial" w:hAnsi="Arial" w:cs="Arial"/>
          <w:sz w:val="22"/>
          <w:szCs w:val="22"/>
        </w:rPr>
        <w:t xml:space="preserve">Der geplante Fahrbahnaufbau wird für die Belastungsklasse </w:t>
      </w:r>
      <w:proofErr w:type="spellStart"/>
      <w:r w:rsidRPr="00C51D87">
        <w:rPr>
          <w:rFonts w:ascii="Arial" w:hAnsi="Arial" w:cs="Arial"/>
          <w:sz w:val="22"/>
          <w:szCs w:val="22"/>
        </w:rPr>
        <w:t>Bk</w:t>
      </w:r>
      <w:proofErr w:type="spellEnd"/>
      <w:r w:rsidRPr="00C51D87">
        <w:rPr>
          <w:rFonts w:ascii="Arial" w:hAnsi="Arial" w:cs="Arial"/>
          <w:sz w:val="22"/>
          <w:szCs w:val="22"/>
        </w:rPr>
        <w:t xml:space="preserve"> 3,2 mit einem Gesamtaufbau von 65 cm ausgelegt.</w:t>
      </w:r>
      <w:r w:rsidR="00C51D87" w:rsidRPr="00C51D87">
        <w:rPr>
          <w:rFonts w:ascii="Arial" w:hAnsi="Arial" w:cs="Arial"/>
          <w:sz w:val="22"/>
          <w:szCs w:val="22"/>
        </w:rPr>
        <w:t xml:space="preserve"> Der durchgehend geführte Gehweg wird mit einer 10 cm starken Pflasterdecke </w:t>
      </w:r>
      <w:r w:rsidR="00C51D87">
        <w:rPr>
          <w:rFonts w:ascii="Arial" w:hAnsi="Arial" w:cs="Arial"/>
          <w:sz w:val="22"/>
          <w:szCs w:val="22"/>
        </w:rPr>
        <w:t>ebenfalls mit einem Gesamtaufbau von 65 cm vorgesehen (Siehe Regelquerschnitte)</w:t>
      </w:r>
      <w:r w:rsidR="00C51D87" w:rsidRPr="00C51D87">
        <w:rPr>
          <w:rFonts w:ascii="Arial" w:hAnsi="Arial" w:cs="Arial"/>
          <w:sz w:val="22"/>
          <w:szCs w:val="22"/>
        </w:rPr>
        <w:t>. Es werden keine Parklätze angelegt.</w:t>
      </w:r>
      <w:r w:rsidR="00117D8A">
        <w:rPr>
          <w:rFonts w:ascii="Arial" w:hAnsi="Arial" w:cs="Arial"/>
          <w:sz w:val="22"/>
          <w:szCs w:val="22"/>
        </w:rPr>
        <w:t xml:space="preserve"> Die im Lageplan durch Fahrbahnmarkierungen dargestellten Parkplätze kommen nicht zur Ausführung.</w:t>
      </w:r>
    </w:p>
    <w:p w14:paraId="092AC0E2" w14:textId="77777777" w:rsidR="00624745" w:rsidRPr="00E27F59" w:rsidRDefault="00624745" w:rsidP="001C4A46">
      <w:pPr>
        <w:spacing w:after="0" w:line="240" w:lineRule="auto"/>
        <w:rPr>
          <w:rFonts w:ascii="Arial" w:hAnsi="Arial" w:cs="Arial"/>
          <w:sz w:val="22"/>
          <w:szCs w:val="22"/>
        </w:rPr>
      </w:pPr>
    </w:p>
    <w:p w14:paraId="14ED556E" w14:textId="53E1B4D1" w:rsidR="007A3625" w:rsidRPr="00CA3F9E" w:rsidRDefault="006322AF" w:rsidP="001C4A46">
      <w:pPr>
        <w:spacing w:after="0" w:line="240" w:lineRule="auto"/>
        <w:rPr>
          <w:rFonts w:ascii="Arial" w:hAnsi="Arial" w:cs="Arial"/>
          <w:b/>
          <w:bCs/>
          <w:sz w:val="22"/>
          <w:szCs w:val="22"/>
        </w:rPr>
      </w:pPr>
      <w:r w:rsidRPr="00CA3F9E">
        <w:rPr>
          <w:rFonts w:ascii="Arial" w:hAnsi="Arial" w:cs="Arial"/>
          <w:b/>
          <w:bCs/>
          <w:sz w:val="22"/>
          <w:szCs w:val="22"/>
        </w:rPr>
        <w:lastRenderedPageBreak/>
        <w:t>Grundhonorare:</w:t>
      </w:r>
    </w:p>
    <w:p w14:paraId="64B3A8CC" w14:textId="244FF8B0" w:rsidR="00CA3F9E" w:rsidRPr="00CA3F9E" w:rsidRDefault="00CA3F9E" w:rsidP="000A6FBA">
      <w:pPr>
        <w:spacing w:after="0" w:line="240" w:lineRule="auto"/>
        <w:jc w:val="both"/>
        <w:rPr>
          <w:rFonts w:ascii="Arial" w:hAnsi="Arial" w:cs="Arial"/>
          <w:sz w:val="22"/>
          <w:szCs w:val="22"/>
        </w:rPr>
      </w:pPr>
      <w:r w:rsidRPr="00CA3F9E">
        <w:rPr>
          <w:rFonts w:ascii="Arial" w:hAnsi="Arial" w:cs="Arial"/>
          <w:sz w:val="22"/>
          <w:szCs w:val="22"/>
        </w:rPr>
        <w:t>Aus Gründen der Sicherstellung vergleichbarer Honorarangebote werden für die Planungsleistungen die anrechenbaren Baukosten, die Honorarzonen sowie das Grundhonorar verbindlich vorgegeben (siehe Preisbl</w:t>
      </w:r>
      <w:r w:rsidR="00C928B9">
        <w:rPr>
          <w:rFonts w:ascii="Arial" w:hAnsi="Arial" w:cs="Arial"/>
          <w:sz w:val="22"/>
          <w:szCs w:val="22"/>
        </w:rPr>
        <w:t>att</w:t>
      </w:r>
      <w:r w:rsidRPr="00CA3F9E">
        <w:rPr>
          <w:rFonts w:ascii="Arial" w:hAnsi="Arial" w:cs="Arial"/>
          <w:sz w:val="22"/>
          <w:szCs w:val="22"/>
        </w:rPr>
        <w:t xml:space="preserve">):   </w:t>
      </w:r>
    </w:p>
    <w:p w14:paraId="2CA23F2A" w14:textId="77777777" w:rsidR="00CA3F9E" w:rsidRPr="00CA3F9E" w:rsidRDefault="00CA3F9E" w:rsidP="001C4A46">
      <w:pPr>
        <w:spacing w:after="0" w:line="240" w:lineRule="auto"/>
        <w:rPr>
          <w:rFonts w:ascii="Arial" w:hAnsi="Arial" w:cs="Arial"/>
          <w:sz w:val="22"/>
          <w:szCs w:val="22"/>
          <w:u w:val="single"/>
        </w:rPr>
      </w:pPr>
    </w:p>
    <w:p w14:paraId="7C93B66C" w14:textId="62BA0634" w:rsidR="006322AF" w:rsidRPr="00CA3F9E" w:rsidRDefault="006322AF" w:rsidP="001C4A46">
      <w:pPr>
        <w:spacing w:after="0" w:line="240" w:lineRule="auto"/>
        <w:jc w:val="both"/>
        <w:rPr>
          <w:rFonts w:ascii="Arial" w:hAnsi="Arial" w:cs="Arial"/>
          <w:sz w:val="22"/>
          <w:szCs w:val="22"/>
          <w:u w:val="single"/>
        </w:rPr>
      </w:pPr>
      <w:r w:rsidRPr="00CA3F9E">
        <w:rPr>
          <w:rFonts w:ascii="Arial" w:hAnsi="Arial" w:cs="Arial"/>
          <w:sz w:val="22"/>
          <w:szCs w:val="22"/>
          <w:u w:val="single"/>
        </w:rPr>
        <w:t xml:space="preserve">Verkehrsanlagen </w:t>
      </w:r>
    </w:p>
    <w:p w14:paraId="49CA3B74" w14:textId="0EBCB240"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 xml:space="preserve">Anrechenbare Kosten (Netto): </w:t>
      </w:r>
      <w:r w:rsidR="00C928B9">
        <w:rPr>
          <w:rFonts w:ascii="Arial" w:hAnsi="Arial" w:cs="Arial"/>
          <w:sz w:val="22"/>
          <w:szCs w:val="22"/>
        </w:rPr>
        <w:t>745.957,00</w:t>
      </w:r>
      <w:r w:rsidR="007352C3">
        <w:rPr>
          <w:rFonts w:ascii="Arial" w:hAnsi="Arial" w:cs="Arial"/>
          <w:sz w:val="22"/>
          <w:szCs w:val="22"/>
        </w:rPr>
        <w:t xml:space="preserve"> Euro</w:t>
      </w:r>
    </w:p>
    <w:p w14:paraId="6E57B278" w14:textId="77777777"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 xml:space="preserve">HOAI 2021; § 48 Abs. 1 - Verkehrsanlagen (Anwendungsbereich des § 45) </w:t>
      </w:r>
    </w:p>
    <w:p w14:paraId="3566A3ED" w14:textId="780F0954"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 xml:space="preserve">Honorarzone II – Basissatz  </w:t>
      </w:r>
    </w:p>
    <w:p w14:paraId="3DAB782A" w14:textId="1117688A"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 xml:space="preserve">Grundhonorar (Netto): </w:t>
      </w:r>
      <w:r w:rsidR="00C928B9">
        <w:rPr>
          <w:rFonts w:ascii="Arial" w:hAnsi="Arial" w:cs="Arial"/>
          <w:sz w:val="22"/>
          <w:szCs w:val="22"/>
        </w:rPr>
        <w:t>56.939,54</w:t>
      </w:r>
      <w:r w:rsidR="00680C42">
        <w:rPr>
          <w:rFonts w:ascii="Arial" w:hAnsi="Arial" w:cs="Arial"/>
          <w:sz w:val="22"/>
          <w:szCs w:val="22"/>
        </w:rPr>
        <w:t xml:space="preserve"> Euro</w:t>
      </w:r>
    </w:p>
    <w:p w14:paraId="568EF763" w14:textId="77777777" w:rsidR="006322AF" w:rsidRDefault="006322AF" w:rsidP="001C4A46">
      <w:pPr>
        <w:spacing w:after="0" w:line="240" w:lineRule="auto"/>
        <w:jc w:val="both"/>
        <w:rPr>
          <w:rFonts w:ascii="Arial" w:hAnsi="Arial" w:cs="Arial"/>
          <w:b/>
          <w:bCs/>
          <w:sz w:val="22"/>
          <w:szCs w:val="22"/>
        </w:rPr>
      </w:pPr>
    </w:p>
    <w:p w14:paraId="40CB7C32" w14:textId="7CCC0EAE"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Zur Ermittlung der Ingenieurleistungen bzw. zur Bildung des gesamten Honorarpreises w</w:t>
      </w:r>
      <w:r w:rsidR="00C928B9">
        <w:rPr>
          <w:rFonts w:ascii="Arial" w:hAnsi="Arial" w:cs="Arial"/>
          <w:sz w:val="22"/>
          <w:szCs w:val="22"/>
        </w:rPr>
        <w:t>i</w:t>
      </w:r>
      <w:r w:rsidRPr="006322AF">
        <w:rPr>
          <w:rFonts w:ascii="Arial" w:hAnsi="Arial" w:cs="Arial"/>
          <w:sz w:val="22"/>
          <w:szCs w:val="22"/>
        </w:rPr>
        <w:t xml:space="preserve">rd </w:t>
      </w:r>
      <w:r w:rsidR="00C928B9">
        <w:rPr>
          <w:rFonts w:ascii="Arial" w:hAnsi="Arial" w:cs="Arial"/>
          <w:sz w:val="22"/>
          <w:szCs w:val="22"/>
        </w:rPr>
        <w:t xml:space="preserve">ein </w:t>
      </w:r>
      <w:r w:rsidRPr="006322AF">
        <w:rPr>
          <w:rFonts w:ascii="Arial" w:hAnsi="Arial" w:cs="Arial"/>
          <w:sz w:val="22"/>
          <w:szCs w:val="22"/>
        </w:rPr>
        <w:t>entsprechende</w:t>
      </w:r>
      <w:r w:rsidR="00C928B9">
        <w:rPr>
          <w:rFonts w:ascii="Arial" w:hAnsi="Arial" w:cs="Arial"/>
          <w:sz w:val="22"/>
          <w:szCs w:val="22"/>
        </w:rPr>
        <w:t>s</w:t>
      </w:r>
      <w:r w:rsidRPr="006322AF">
        <w:rPr>
          <w:rFonts w:ascii="Arial" w:hAnsi="Arial" w:cs="Arial"/>
          <w:sz w:val="22"/>
          <w:szCs w:val="22"/>
        </w:rPr>
        <w:t xml:space="preserve"> Angebotspreisbl</w:t>
      </w:r>
      <w:r w:rsidR="00C928B9">
        <w:rPr>
          <w:rFonts w:ascii="Arial" w:hAnsi="Arial" w:cs="Arial"/>
          <w:sz w:val="22"/>
          <w:szCs w:val="22"/>
        </w:rPr>
        <w:t>att</w:t>
      </w:r>
      <w:r w:rsidRPr="006322AF">
        <w:rPr>
          <w:rFonts w:ascii="Arial" w:hAnsi="Arial" w:cs="Arial"/>
          <w:sz w:val="22"/>
          <w:szCs w:val="22"/>
        </w:rPr>
        <w:t xml:space="preserve"> zur Verfügung gestellt. </w:t>
      </w:r>
    </w:p>
    <w:p w14:paraId="596853D1" w14:textId="3CD3F1F7"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Die Bieter können optional auf das Grundhonorar Auf- oder Abschläge gewähren. Die Bieter haben in diese</w:t>
      </w:r>
      <w:r w:rsidR="00C928B9">
        <w:rPr>
          <w:rFonts w:ascii="Arial" w:hAnsi="Arial" w:cs="Arial"/>
          <w:sz w:val="22"/>
          <w:szCs w:val="22"/>
        </w:rPr>
        <w:t>m</w:t>
      </w:r>
      <w:r w:rsidRPr="006322AF">
        <w:rPr>
          <w:rFonts w:ascii="Arial" w:hAnsi="Arial" w:cs="Arial"/>
          <w:sz w:val="22"/>
          <w:szCs w:val="22"/>
        </w:rPr>
        <w:t xml:space="preserve"> Angebotspreis</w:t>
      </w:r>
      <w:r w:rsidR="00C928B9">
        <w:rPr>
          <w:rFonts w:ascii="Arial" w:hAnsi="Arial" w:cs="Arial"/>
          <w:sz w:val="22"/>
          <w:szCs w:val="22"/>
        </w:rPr>
        <w:t>blatt</w:t>
      </w:r>
      <w:r w:rsidRPr="006322AF">
        <w:rPr>
          <w:rFonts w:ascii="Arial" w:hAnsi="Arial" w:cs="Arial"/>
          <w:sz w:val="22"/>
          <w:szCs w:val="22"/>
        </w:rPr>
        <w:t xml:space="preserve"> verpflichtend Angaben zu den "Besonderen Leistungen" (örtliche Bauüberwachung), den "Weiteren Besonderen Leistungen" und den "Nebenkosten" zu machen. Jede nicht vorgesehene, ergänzende Eintragung/Änderung in de</w:t>
      </w:r>
      <w:r w:rsidR="00C928B9">
        <w:rPr>
          <w:rFonts w:ascii="Arial" w:hAnsi="Arial" w:cs="Arial"/>
          <w:sz w:val="22"/>
          <w:szCs w:val="22"/>
        </w:rPr>
        <w:t>m</w:t>
      </w:r>
      <w:r w:rsidRPr="006322AF">
        <w:rPr>
          <w:rFonts w:ascii="Arial" w:hAnsi="Arial" w:cs="Arial"/>
          <w:sz w:val="22"/>
          <w:szCs w:val="22"/>
        </w:rPr>
        <w:t xml:space="preserve"> Preis</w:t>
      </w:r>
      <w:r w:rsidR="00C928B9">
        <w:rPr>
          <w:rFonts w:ascii="Arial" w:hAnsi="Arial" w:cs="Arial"/>
          <w:sz w:val="22"/>
          <w:szCs w:val="22"/>
        </w:rPr>
        <w:t>blatt</w:t>
      </w:r>
      <w:r w:rsidRPr="006322AF">
        <w:rPr>
          <w:rFonts w:ascii="Arial" w:hAnsi="Arial" w:cs="Arial"/>
          <w:sz w:val="22"/>
          <w:szCs w:val="22"/>
        </w:rPr>
        <w:t xml:space="preserve"> führt zwingend zum Angebotsausschluss.</w:t>
      </w:r>
    </w:p>
    <w:p w14:paraId="126467F9" w14:textId="77777777" w:rsidR="006322AF" w:rsidRPr="006322AF" w:rsidRDefault="006322AF" w:rsidP="001C4A46">
      <w:pPr>
        <w:spacing w:after="0" w:line="240" w:lineRule="auto"/>
        <w:jc w:val="both"/>
        <w:rPr>
          <w:rFonts w:ascii="Arial" w:hAnsi="Arial" w:cs="Arial"/>
          <w:sz w:val="22"/>
          <w:szCs w:val="22"/>
        </w:rPr>
      </w:pPr>
      <w:r w:rsidRPr="006322AF">
        <w:rPr>
          <w:rFonts w:ascii="Arial" w:hAnsi="Arial" w:cs="Arial"/>
          <w:sz w:val="22"/>
          <w:szCs w:val="22"/>
        </w:rPr>
        <w:t>Die Zuschlagskriterien und deren Gewichtung können der beigefügten Anlage entnommen werden. Neben dem Zuschlagskriterium „Preis“ (Angebotssumme), werden weitere nicht monetäre Zuschlagskriterien bei der Zuschlagserteilung berücksichtigt. Zu diesen weiteren Zuschlagskriterien haben die Bieter mit ihren Angeboten entsprechende Angaben zu machen, die vom Auftraggeber gewertet werden. Für die Beurteilung der weiteren Zuschlagskriterien kann sich jeder Bieter für dieses Projekt formlos und im selbstbestimmten Umfang bewerben bzw. präsentieren. Die weiteren Zuschlagskriterien und deren Gewichtung können der beigefügten Anlage entnommen werden.</w:t>
      </w:r>
    </w:p>
    <w:p w14:paraId="381895C6" w14:textId="77777777" w:rsidR="006C5FE3" w:rsidRPr="005808F9" w:rsidRDefault="006C5FE3" w:rsidP="001C4A46">
      <w:pPr>
        <w:spacing w:after="0" w:line="240" w:lineRule="auto"/>
        <w:jc w:val="both"/>
        <w:rPr>
          <w:rFonts w:ascii="Arial" w:hAnsi="Arial" w:cs="Arial"/>
          <w:sz w:val="22"/>
          <w:szCs w:val="22"/>
        </w:rPr>
      </w:pPr>
    </w:p>
    <w:p w14:paraId="03BE30E1" w14:textId="77777777" w:rsidR="006C5FE3" w:rsidRPr="00CA3F9E" w:rsidRDefault="006C5FE3" w:rsidP="001C4A46">
      <w:pPr>
        <w:spacing w:after="0" w:line="240" w:lineRule="auto"/>
        <w:jc w:val="both"/>
        <w:rPr>
          <w:rFonts w:ascii="Arial" w:hAnsi="Arial" w:cs="Arial"/>
          <w:b/>
          <w:bCs/>
          <w:sz w:val="22"/>
          <w:szCs w:val="22"/>
        </w:rPr>
      </w:pPr>
      <w:r w:rsidRPr="00CA3F9E">
        <w:rPr>
          <w:rFonts w:ascii="Arial" w:hAnsi="Arial" w:cs="Arial"/>
          <w:b/>
          <w:bCs/>
          <w:sz w:val="22"/>
          <w:szCs w:val="22"/>
        </w:rPr>
        <w:t xml:space="preserve">Auftraggeber: </w:t>
      </w:r>
    </w:p>
    <w:p w14:paraId="3265EA21"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Die Beauftragung der Planungsleistungen erfolgt im Namen und auf Rechnung der  </w:t>
      </w:r>
    </w:p>
    <w:p w14:paraId="0AD3BBEA" w14:textId="391144C5" w:rsidR="006C5FE3" w:rsidRPr="001C4A46" w:rsidRDefault="006C5FE3" w:rsidP="001C4A46">
      <w:pPr>
        <w:spacing w:after="0" w:line="240" w:lineRule="auto"/>
        <w:jc w:val="both"/>
        <w:rPr>
          <w:rFonts w:ascii="Arial" w:hAnsi="Arial" w:cs="Arial"/>
          <w:sz w:val="22"/>
          <w:szCs w:val="22"/>
        </w:rPr>
      </w:pPr>
      <w:r w:rsidRPr="001C4A46">
        <w:rPr>
          <w:rFonts w:ascii="Arial" w:hAnsi="Arial" w:cs="Arial"/>
          <w:sz w:val="22"/>
          <w:szCs w:val="22"/>
        </w:rPr>
        <w:t xml:space="preserve">Für Verkehrsanlagen: </w:t>
      </w:r>
    </w:p>
    <w:p w14:paraId="77DCB29E" w14:textId="079C7ACD" w:rsidR="006C5FE3" w:rsidRPr="006C5FE3" w:rsidRDefault="00C928B9" w:rsidP="001C4A46">
      <w:pPr>
        <w:spacing w:after="0" w:line="240" w:lineRule="auto"/>
        <w:jc w:val="both"/>
        <w:rPr>
          <w:rFonts w:ascii="Arial" w:hAnsi="Arial" w:cs="Arial"/>
          <w:sz w:val="22"/>
          <w:szCs w:val="22"/>
        </w:rPr>
      </w:pPr>
      <w:r>
        <w:rPr>
          <w:rFonts w:ascii="Arial" w:hAnsi="Arial" w:cs="Arial"/>
          <w:sz w:val="22"/>
          <w:szCs w:val="22"/>
        </w:rPr>
        <w:t>Stadt Wirges</w:t>
      </w:r>
    </w:p>
    <w:p w14:paraId="68BD5F34" w14:textId="0CA5882D"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Vertr. d. d. </w:t>
      </w:r>
      <w:r w:rsidR="00C928B9">
        <w:rPr>
          <w:rFonts w:ascii="Arial" w:hAnsi="Arial" w:cs="Arial"/>
          <w:sz w:val="22"/>
          <w:szCs w:val="22"/>
        </w:rPr>
        <w:t>Stadt</w:t>
      </w:r>
      <w:r w:rsidRPr="006C5FE3">
        <w:rPr>
          <w:rFonts w:ascii="Arial" w:hAnsi="Arial" w:cs="Arial"/>
          <w:sz w:val="22"/>
          <w:szCs w:val="22"/>
        </w:rPr>
        <w:t xml:space="preserve">bürgermeister Herrn </w:t>
      </w:r>
      <w:r w:rsidR="00C928B9">
        <w:rPr>
          <w:rFonts w:ascii="Arial" w:hAnsi="Arial" w:cs="Arial"/>
          <w:sz w:val="22"/>
          <w:szCs w:val="22"/>
        </w:rPr>
        <w:t>Markus Schlotter</w:t>
      </w:r>
    </w:p>
    <w:p w14:paraId="1CF6EA10" w14:textId="77777777" w:rsidR="00C928B9" w:rsidRDefault="00C928B9" w:rsidP="001C4A46">
      <w:pPr>
        <w:spacing w:after="0" w:line="240" w:lineRule="auto"/>
        <w:jc w:val="both"/>
        <w:rPr>
          <w:rFonts w:ascii="Arial" w:hAnsi="Arial" w:cs="Arial"/>
          <w:sz w:val="22"/>
          <w:szCs w:val="22"/>
        </w:rPr>
      </w:pPr>
      <w:proofErr w:type="spellStart"/>
      <w:r w:rsidRPr="00C928B9">
        <w:rPr>
          <w:rFonts w:ascii="Arial" w:hAnsi="Arial" w:cs="Arial"/>
          <w:sz w:val="22"/>
          <w:szCs w:val="22"/>
        </w:rPr>
        <w:t>Montchaninplatz</w:t>
      </w:r>
      <w:proofErr w:type="spellEnd"/>
      <w:r w:rsidRPr="00C928B9">
        <w:rPr>
          <w:rFonts w:ascii="Arial" w:hAnsi="Arial" w:cs="Arial"/>
          <w:sz w:val="22"/>
          <w:szCs w:val="22"/>
        </w:rPr>
        <w:t xml:space="preserve"> 1</w:t>
      </w:r>
    </w:p>
    <w:p w14:paraId="7300527E" w14:textId="2E68FA27" w:rsidR="006C5FE3" w:rsidRDefault="00C928B9" w:rsidP="001C4A46">
      <w:pPr>
        <w:spacing w:after="0" w:line="240" w:lineRule="auto"/>
        <w:jc w:val="both"/>
        <w:rPr>
          <w:rFonts w:ascii="Arial" w:hAnsi="Arial" w:cs="Arial"/>
          <w:sz w:val="22"/>
          <w:szCs w:val="22"/>
        </w:rPr>
      </w:pPr>
      <w:r w:rsidRPr="00C928B9">
        <w:rPr>
          <w:rFonts w:ascii="Arial" w:hAnsi="Arial" w:cs="Arial"/>
          <w:sz w:val="22"/>
          <w:szCs w:val="22"/>
        </w:rPr>
        <w:t>56422 Wirges</w:t>
      </w:r>
    </w:p>
    <w:p w14:paraId="7B91AB62" w14:textId="77777777" w:rsidR="001C4A46" w:rsidRPr="006C5FE3" w:rsidRDefault="001C4A46" w:rsidP="001C4A46">
      <w:pPr>
        <w:spacing w:after="0" w:line="240" w:lineRule="auto"/>
        <w:jc w:val="both"/>
        <w:rPr>
          <w:rFonts w:ascii="Arial" w:hAnsi="Arial" w:cs="Arial"/>
          <w:sz w:val="22"/>
          <w:szCs w:val="22"/>
        </w:rPr>
      </w:pPr>
    </w:p>
    <w:p w14:paraId="6E69AD06" w14:textId="77777777" w:rsidR="006C5FE3" w:rsidRPr="00CA3F9E" w:rsidRDefault="006C5FE3" w:rsidP="001C4A46">
      <w:pPr>
        <w:spacing w:after="0" w:line="240" w:lineRule="auto"/>
        <w:jc w:val="both"/>
        <w:rPr>
          <w:rFonts w:ascii="Arial" w:hAnsi="Arial" w:cs="Arial"/>
          <w:i/>
          <w:iCs/>
          <w:sz w:val="22"/>
          <w:szCs w:val="22"/>
        </w:rPr>
      </w:pPr>
      <w:r w:rsidRPr="00CA3F9E">
        <w:rPr>
          <w:rFonts w:ascii="Arial" w:hAnsi="Arial" w:cs="Arial"/>
          <w:i/>
          <w:iCs/>
          <w:sz w:val="22"/>
          <w:szCs w:val="22"/>
        </w:rPr>
        <w:t xml:space="preserve">und geht zu Händen </w:t>
      </w:r>
    </w:p>
    <w:p w14:paraId="671FA5C1"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Verbandsgemeindeverwaltung Wirges </w:t>
      </w:r>
    </w:p>
    <w:p w14:paraId="4426D094"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Straßenbaubehörde / Fachbereich 4 </w:t>
      </w:r>
    </w:p>
    <w:p w14:paraId="201C9416"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Wladislaw Otschkowski</w:t>
      </w:r>
    </w:p>
    <w:p w14:paraId="0369CD10"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Bahnhofstraße 28 </w:t>
      </w:r>
    </w:p>
    <w:p w14:paraId="0CEC93B7"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56422 Wirges </w:t>
      </w:r>
    </w:p>
    <w:p w14:paraId="7BA6D903" w14:textId="77777777" w:rsidR="006C5FE3" w:rsidRPr="006C5FE3" w:rsidRDefault="006C5FE3" w:rsidP="001C4A46">
      <w:pPr>
        <w:spacing w:after="0" w:line="240" w:lineRule="auto"/>
        <w:jc w:val="both"/>
        <w:rPr>
          <w:rFonts w:ascii="Arial" w:hAnsi="Arial" w:cs="Arial"/>
          <w:sz w:val="22"/>
          <w:szCs w:val="22"/>
        </w:rPr>
      </w:pPr>
    </w:p>
    <w:p w14:paraId="4AE0431F"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Wenn eine elektronische Rechnungsstellung mittels </w:t>
      </w:r>
      <w:proofErr w:type="spellStart"/>
      <w:r w:rsidRPr="006C5FE3">
        <w:rPr>
          <w:rFonts w:ascii="Arial" w:hAnsi="Arial" w:cs="Arial"/>
          <w:sz w:val="22"/>
          <w:szCs w:val="22"/>
        </w:rPr>
        <w:t>eRechnungsformaten</w:t>
      </w:r>
      <w:proofErr w:type="spellEnd"/>
      <w:r w:rsidRPr="006C5FE3">
        <w:rPr>
          <w:rFonts w:ascii="Arial" w:hAnsi="Arial" w:cs="Arial"/>
          <w:sz w:val="22"/>
          <w:szCs w:val="22"/>
        </w:rPr>
        <w:t xml:space="preserve"> (noch) nicht möglich ist, kann zumindest auf die digitale PDF-Variante umgestellt werden. Diese muss direkt an rechnung@wirges.de gerichtet werden. </w:t>
      </w:r>
    </w:p>
    <w:p w14:paraId="187BDFFE"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Die Rechnung muss dabei als Anlage gesendet werden. Der </w:t>
      </w:r>
      <w:proofErr w:type="gramStart"/>
      <w:r w:rsidRPr="006C5FE3">
        <w:rPr>
          <w:rFonts w:ascii="Arial" w:hAnsi="Arial" w:cs="Arial"/>
          <w:sz w:val="22"/>
          <w:szCs w:val="22"/>
        </w:rPr>
        <w:t>Email</w:t>
      </w:r>
      <w:proofErr w:type="gramEnd"/>
      <w:r w:rsidRPr="006C5FE3">
        <w:rPr>
          <w:rFonts w:ascii="Arial" w:hAnsi="Arial" w:cs="Arial"/>
          <w:sz w:val="22"/>
          <w:szCs w:val="22"/>
        </w:rPr>
        <w:t xml:space="preserve">-Text darf keine rechnungsrelevanten Daten oder andere Anliegen enthalten. Dies gilt generell für Rechnungen per </w:t>
      </w:r>
      <w:proofErr w:type="gramStart"/>
      <w:r w:rsidRPr="006C5FE3">
        <w:rPr>
          <w:rFonts w:ascii="Arial" w:hAnsi="Arial" w:cs="Arial"/>
          <w:sz w:val="22"/>
          <w:szCs w:val="22"/>
        </w:rPr>
        <w:t>Email</w:t>
      </w:r>
      <w:proofErr w:type="gramEnd"/>
      <w:r w:rsidRPr="006C5FE3">
        <w:rPr>
          <w:rFonts w:ascii="Arial" w:hAnsi="Arial" w:cs="Arial"/>
          <w:sz w:val="22"/>
          <w:szCs w:val="22"/>
        </w:rPr>
        <w:t xml:space="preserve">. </w:t>
      </w:r>
    </w:p>
    <w:p w14:paraId="683250FC" w14:textId="77777777" w:rsidR="000E5229" w:rsidRPr="006C5FE3" w:rsidRDefault="000E5229" w:rsidP="001C4A46">
      <w:pPr>
        <w:spacing w:after="0" w:line="240" w:lineRule="auto"/>
        <w:jc w:val="both"/>
        <w:rPr>
          <w:rFonts w:ascii="Arial" w:hAnsi="Arial" w:cs="Arial"/>
          <w:sz w:val="22"/>
          <w:szCs w:val="22"/>
        </w:rPr>
      </w:pPr>
    </w:p>
    <w:p w14:paraId="17D572DC" w14:textId="77777777" w:rsidR="006C5FE3" w:rsidRPr="00CA3F9E" w:rsidRDefault="006C5FE3" w:rsidP="001C4A46">
      <w:pPr>
        <w:spacing w:after="0" w:line="240" w:lineRule="auto"/>
        <w:jc w:val="both"/>
        <w:rPr>
          <w:rFonts w:ascii="Arial" w:hAnsi="Arial" w:cs="Arial"/>
          <w:sz w:val="22"/>
          <w:szCs w:val="22"/>
          <w:u w:val="single"/>
        </w:rPr>
      </w:pPr>
      <w:r w:rsidRPr="00CA3F9E">
        <w:rPr>
          <w:rFonts w:ascii="Arial" w:hAnsi="Arial" w:cs="Arial"/>
          <w:sz w:val="22"/>
          <w:szCs w:val="22"/>
          <w:u w:val="single"/>
        </w:rPr>
        <w:t xml:space="preserve">Vergabeart: </w:t>
      </w:r>
    </w:p>
    <w:p w14:paraId="6DA2C2CC" w14:textId="7C1EFE91" w:rsidR="006C5FE3" w:rsidRDefault="006C5FE3" w:rsidP="00EA32F8">
      <w:pPr>
        <w:spacing w:after="0" w:line="240" w:lineRule="auto"/>
        <w:jc w:val="both"/>
        <w:rPr>
          <w:rFonts w:ascii="Arial" w:hAnsi="Arial" w:cs="Arial"/>
          <w:sz w:val="22"/>
          <w:szCs w:val="22"/>
        </w:rPr>
      </w:pPr>
      <w:r w:rsidRPr="006C5FE3">
        <w:rPr>
          <w:rFonts w:ascii="Arial" w:hAnsi="Arial" w:cs="Arial"/>
          <w:sz w:val="22"/>
          <w:szCs w:val="22"/>
        </w:rPr>
        <w:t xml:space="preserve">Die gewählte </w:t>
      </w:r>
      <w:r w:rsidRPr="00EA32F8">
        <w:rPr>
          <w:rFonts w:ascii="Arial" w:hAnsi="Arial" w:cs="Arial"/>
          <w:sz w:val="22"/>
          <w:szCs w:val="22"/>
        </w:rPr>
        <w:t>Vergabeart ist d</w:t>
      </w:r>
      <w:r w:rsidR="00EA32F8" w:rsidRPr="00EA32F8">
        <w:rPr>
          <w:rFonts w:ascii="Arial" w:hAnsi="Arial" w:cs="Arial"/>
          <w:sz w:val="22"/>
          <w:szCs w:val="22"/>
        </w:rPr>
        <w:t xml:space="preserve">ie </w:t>
      </w:r>
      <w:r w:rsidR="00EA32F8" w:rsidRPr="00EA32F8">
        <w:rPr>
          <w:rFonts w:ascii="Arial" w:hAnsi="Arial" w:cs="Arial"/>
          <w:sz w:val="22"/>
          <w:szCs w:val="22"/>
        </w:rPr>
        <w:t>Die Unterschwellenvergabeordnung (</w:t>
      </w:r>
      <w:proofErr w:type="spellStart"/>
      <w:r w:rsidR="00EA32F8" w:rsidRPr="00EA32F8">
        <w:rPr>
          <w:rFonts w:ascii="Arial" w:hAnsi="Arial" w:cs="Arial"/>
          <w:sz w:val="22"/>
          <w:szCs w:val="22"/>
        </w:rPr>
        <w:t>UVgO</w:t>
      </w:r>
      <w:proofErr w:type="spellEnd"/>
      <w:r w:rsidR="00EA32F8" w:rsidRPr="00EA32F8">
        <w:rPr>
          <w:rFonts w:ascii="Arial" w:hAnsi="Arial" w:cs="Arial"/>
          <w:sz w:val="22"/>
          <w:szCs w:val="22"/>
        </w:rPr>
        <w:t>)</w:t>
      </w:r>
      <w:r w:rsidR="00EA32F8">
        <w:rPr>
          <w:rFonts w:ascii="Arial" w:hAnsi="Arial" w:cs="Arial"/>
          <w:sz w:val="22"/>
          <w:szCs w:val="22"/>
        </w:rPr>
        <w:t>.</w:t>
      </w:r>
    </w:p>
    <w:p w14:paraId="762C3A2F" w14:textId="77777777" w:rsidR="00EA32F8" w:rsidRPr="006C5FE3" w:rsidRDefault="00EA32F8" w:rsidP="00EA32F8">
      <w:pPr>
        <w:spacing w:after="0" w:line="240" w:lineRule="auto"/>
        <w:jc w:val="both"/>
        <w:rPr>
          <w:rFonts w:ascii="Arial" w:hAnsi="Arial" w:cs="Arial"/>
          <w:sz w:val="22"/>
          <w:szCs w:val="22"/>
        </w:rPr>
      </w:pPr>
    </w:p>
    <w:p w14:paraId="1818050C" w14:textId="396CB5E3" w:rsid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Das Planungsbüro (Auftragnehmer), welches den Zuschlag erhalten hat, erstellt den Honorarvertrag. Dieser Honorarvertrag ist durch den Auftraggeber gegenzuzeichnen.</w:t>
      </w:r>
    </w:p>
    <w:p w14:paraId="6B4BD06F" w14:textId="77777777" w:rsidR="006214E0" w:rsidRDefault="006214E0" w:rsidP="001C4A46">
      <w:pPr>
        <w:spacing w:after="0" w:line="240" w:lineRule="auto"/>
        <w:jc w:val="both"/>
        <w:rPr>
          <w:rFonts w:ascii="Arial" w:hAnsi="Arial" w:cs="Arial"/>
          <w:sz w:val="22"/>
          <w:szCs w:val="22"/>
        </w:rPr>
      </w:pPr>
    </w:p>
    <w:p w14:paraId="1CBBAA83" w14:textId="77777777" w:rsidR="00EA32F8" w:rsidRDefault="00EA32F8" w:rsidP="001C4A46">
      <w:pPr>
        <w:spacing w:after="0" w:line="240" w:lineRule="auto"/>
        <w:jc w:val="both"/>
        <w:rPr>
          <w:rFonts w:ascii="Arial" w:hAnsi="Arial" w:cs="Arial"/>
          <w:sz w:val="22"/>
          <w:szCs w:val="22"/>
        </w:rPr>
      </w:pPr>
    </w:p>
    <w:p w14:paraId="38432AF0" w14:textId="77777777" w:rsidR="00EA32F8" w:rsidRPr="006C5FE3" w:rsidRDefault="00EA32F8" w:rsidP="001C4A46">
      <w:pPr>
        <w:spacing w:after="0" w:line="240" w:lineRule="auto"/>
        <w:jc w:val="both"/>
        <w:rPr>
          <w:rFonts w:ascii="Arial" w:hAnsi="Arial" w:cs="Arial"/>
          <w:sz w:val="22"/>
          <w:szCs w:val="22"/>
        </w:rPr>
      </w:pPr>
    </w:p>
    <w:p w14:paraId="78D4E808" w14:textId="3D8C4A51" w:rsidR="006C5FE3" w:rsidRPr="006214E0" w:rsidRDefault="006C5FE3" w:rsidP="001C4A46">
      <w:pPr>
        <w:spacing w:after="0" w:line="240" w:lineRule="auto"/>
        <w:jc w:val="both"/>
        <w:rPr>
          <w:rFonts w:ascii="Arial" w:hAnsi="Arial" w:cs="Arial"/>
          <w:sz w:val="22"/>
          <w:szCs w:val="22"/>
          <w:u w:val="single"/>
        </w:rPr>
      </w:pPr>
      <w:r w:rsidRPr="006214E0">
        <w:rPr>
          <w:rFonts w:ascii="Arial" w:hAnsi="Arial" w:cs="Arial"/>
          <w:sz w:val="22"/>
          <w:szCs w:val="22"/>
          <w:u w:val="single"/>
        </w:rPr>
        <w:lastRenderedPageBreak/>
        <w:t>Versicherungsnachweis</w:t>
      </w:r>
    </w:p>
    <w:p w14:paraId="1AD6696E"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Im Honorarvertrag verpflichtet sich das </w:t>
      </w:r>
      <w:proofErr w:type="spellStart"/>
      <w:r w:rsidRPr="006C5FE3">
        <w:rPr>
          <w:rFonts w:ascii="Arial" w:hAnsi="Arial" w:cs="Arial"/>
          <w:sz w:val="22"/>
          <w:szCs w:val="22"/>
        </w:rPr>
        <w:t>auftragnehmende</w:t>
      </w:r>
      <w:proofErr w:type="spellEnd"/>
      <w:r w:rsidRPr="006C5FE3">
        <w:rPr>
          <w:rFonts w:ascii="Arial" w:hAnsi="Arial" w:cs="Arial"/>
          <w:sz w:val="22"/>
          <w:szCs w:val="22"/>
        </w:rPr>
        <w:t xml:space="preserve"> Planungs- / Ingenieurbüro eine branchentypische Berufshaftpflichtversicherung zu haben oder ggf. abzuschließen mit mindestens folgenden Deckungssummen: </w:t>
      </w:r>
    </w:p>
    <w:p w14:paraId="2E975171"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 - 3 Millionen Euro für Personenschäden </w:t>
      </w:r>
    </w:p>
    <w:p w14:paraId="7E1C2387"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 - 1 Million Euro für Sach- und Vermögensschäden </w:t>
      </w:r>
    </w:p>
    <w:p w14:paraId="188BFD30"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 Der Nachweis ist unaufgefordert vorzulegen. </w:t>
      </w:r>
    </w:p>
    <w:p w14:paraId="312149E5" w14:textId="77777777" w:rsidR="006C5FE3" w:rsidRDefault="006C5FE3" w:rsidP="001C4A46">
      <w:pPr>
        <w:spacing w:after="0" w:line="240" w:lineRule="auto"/>
        <w:jc w:val="both"/>
        <w:rPr>
          <w:rFonts w:ascii="Arial" w:hAnsi="Arial" w:cs="Arial"/>
          <w:b/>
          <w:bCs/>
          <w:sz w:val="22"/>
          <w:szCs w:val="22"/>
        </w:rPr>
      </w:pPr>
    </w:p>
    <w:p w14:paraId="5950E546" w14:textId="1A9E3C42" w:rsidR="006322AF" w:rsidRPr="00CA3F9E" w:rsidRDefault="006C5FE3" w:rsidP="001C4A46">
      <w:pPr>
        <w:spacing w:after="0" w:line="240" w:lineRule="auto"/>
        <w:jc w:val="both"/>
        <w:rPr>
          <w:rFonts w:ascii="Arial" w:hAnsi="Arial" w:cs="Arial"/>
          <w:sz w:val="22"/>
          <w:szCs w:val="22"/>
          <w:u w:val="single"/>
        </w:rPr>
      </w:pPr>
      <w:r w:rsidRPr="00CA3F9E">
        <w:rPr>
          <w:rFonts w:ascii="Arial" w:hAnsi="Arial" w:cs="Arial"/>
          <w:sz w:val="22"/>
          <w:szCs w:val="22"/>
          <w:u w:val="single"/>
        </w:rPr>
        <w:t>Leistungszeit:</w:t>
      </w:r>
    </w:p>
    <w:p w14:paraId="2548EA26" w14:textId="5F1D8AB1" w:rsidR="006C7A36" w:rsidRDefault="006C5FE3" w:rsidP="001C4A46">
      <w:pPr>
        <w:spacing w:after="0" w:line="240" w:lineRule="auto"/>
        <w:jc w:val="both"/>
        <w:rPr>
          <w:rFonts w:ascii="Arial" w:hAnsi="Arial" w:cs="Arial"/>
          <w:sz w:val="22"/>
          <w:szCs w:val="22"/>
        </w:rPr>
      </w:pPr>
      <w:r w:rsidRPr="006C5FE3">
        <w:rPr>
          <w:rFonts w:ascii="Arial" w:hAnsi="Arial" w:cs="Arial"/>
          <w:sz w:val="22"/>
          <w:szCs w:val="22"/>
        </w:rPr>
        <w:t>Mit der Planungsleistung ist zwei Wochen nach Auftragserteilung zu beginnen.</w:t>
      </w:r>
      <w:r w:rsidR="004115DF">
        <w:rPr>
          <w:rFonts w:ascii="Arial" w:hAnsi="Arial" w:cs="Arial"/>
          <w:sz w:val="22"/>
          <w:szCs w:val="22"/>
        </w:rPr>
        <w:t xml:space="preserve"> </w:t>
      </w:r>
      <w:r w:rsidR="004115DF" w:rsidRPr="004115DF">
        <w:rPr>
          <w:rFonts w:ascii="Arial" w:hAnsi="Arial" w:cs="Arial"/>
          <w:sz w:val="22"/>
          <w:szCs w:val="22"/>
        </w:rPr>
        <w:t xml:space="preserve">Die vollständige Erbringung und vertragsgemäße Fertigstellung der vertragsgegenständlichen Planungsleistungen </w:t>
      </w:r>
      <w:proofErr w:type="gramStart"/>
      <w:r w:rsidR="004115DF" w:rsidRPr="004115DF">
        <w:rPr>
          <w:rFonts w:ascii="Arial" w:hAnsi="Arial" w:cs="Arial"/>
          <w:sz w:val="22"/>
          <w:szCs w:val="22"/>
        </w:rPr>
        <w:t>hat</w:t>
      </w:r>
      <w:proofErr w:type="gramEnd"/>
      <w:r w:rsidR="004115DF" w:rsidRPr="004115DF">
        <w:rPr>
          <w:rFonts w:ascii="Arial" w:hAnsi="Arial" w:cs="Arial"/>
          <w:sz w:val="22"/>
          <w:szCs w:val="22"/>
        </w:rPr>
        <w:t xml:space="preserve"> spätestens bis zum 16.03.202</w:t>
      </w:r>
      <w:r w:rsidR="006C7A36">
        <w:rPr>
          <w:rFonts w:ascii="Arial" w:hAnsi="Arial" w:cs="Arial"/>
          <w:sz w:val="22"/>
          <w:szCs w:val="22"/>
        </w:rPr>
        <w:t>7</w:t>
      </w:r>
      <w:r w:rsidR="004115DF" w:rsidRPr="004115DF">
        <w:rPr>
          <w:rFonts w:ascii="Arial" w:hAnsi="Arial" w:cs="Arial"/>
          <w:sz w:val="22"/>
          <w:szCs w:val="22"/>
        </w:rPr>
        <w:t xml:space="preserve"> zu erfolgen</w:t>
      </w:r>
      <w:r w:rsidR="004115DF">
        <w:rPr>
          <w:rFonts w:ascii="Arial" w:hAnsi="Arial" w:cs="Arial"/>
          <w:sz w:val="22"/>
          <w:szCs w:val="22"/>
        </w:rPr>
        <w:t xml:space="preserve">. </w:t>
      </w:r>
      <w:r w:rsidR="007C107F" w:rsidRPr="007C107F">
        <w:rPr>
          <w:rFonts w:ascii="Arial" w:hAnsi="Arial" w:cs="Arial"/>
          <w:sz w:val="22"/>
          <w:szCs w:val="22"/>
        </w:rPr>
        <w:t xml:space="preserve">Das primäre Leistungsziel ist die Übergabe der vollständigen und prüffähigen Vergabeunterlagen (Leistungsphase 6, HOAI), um die anschließende Vergabe der Bauleistungen (VOB) im </w:t>
      </w:r>
      <w:r w:rsidR="007C107F">
        <w:rPr>
          <w:rFonts w:ascii="Arial" w:hAnsi="Arial" w:cs="Arial"/>
          <w:sz w:val="22"/>
          <w:szCs w:val="22"/>
        </w:rPr>
        <w:t>März</w:t>
      </w:r>
      <w:r w:rsidR="007C107F" w:rsidRPr="007C107F">
        <w:rPr>
          <w:rFonts w:ascii="Arial" w:hAnsi="Arial" w:cs="Arial"/>
          <w:sz w:val="22"/>
          <w:szCs w:val="22"/>
        </w:rPr>
        <w:t xml:space="preserve"> 2027 einleiten zu können.</w:t>
      </w:r>
    </w:p>
    <w:p w14:paraId="7EB79B7E" w14:textId="3FC5E0AC" w:rsidR="006C5FE3" w:rsidRPr="006C5FE3" w:rsidRDefault="004115DF" w:rsidP="001C4A46">
      <w:pPr>
        <w:spacing w:after="0" w:line="240" w:lineRule="auto"/>
        <w:jc w:val="both"/>
        <w:rPr>
          <w:rFonts w:ascii="Arial" w:hAnsi="Arial" w:cs="Arial"/>
          <w:sz w:val="22"/>
          <w:szCs w:val="22"/>
        </w:rPr>
      </w:pPr>
      <w:r>
        <w:rPr>
          <w:rFonts w:ascii="Arial" w:hAnsi="Arial" w:cs="Arial"/>
          <w:sz w:val="22"/>
          <w:szCs w:val="22"/>
        </w:rPr>
        <w:t>Es ist</w:t>
      </w:r>
      <w:r w:rsidR="006C5FE3" w:rsidRPr="006C5FE3">
        <w:rPr>
          <w:rFonts w:ascii="Arial" w:hAnsi="Arial" w:cs="Arial"/>
          <w:sz w:val="22"/>
          <w:szCs w:val="22"/>
        </w:rPr>
        <w:t xml:space="preserve"> grundsätzlich die Abstimmung der Vorgehensweise mit der Straßenbaubehörde, Verbandsgemeindeverwaltung Wirges sowie den VG-Werken Wirges als federführende bzw. koordinierende Stellen erforderlich. </w:t>
      </w:r>
    </w:p>
    <w:p w14:paraId="6D3B0A75" w14:textId="64A855EB" w:rsidR="007C107F" w:rsidRDefault="006C5FE3" w:rsidP="007C107F">
      <w:pPr>
        <w:spacing w:after="0" w:line="240" w:lineRule="auto"/>
        <w:jc w:val="both"/>
        <w:rPr>
          <w:rFonts w:ascii="Arial" w:hAnsi="Arial" w:cs="Arial"/>
          <w:sz w:val="22"/>
          <w:szCs w:val="22"/>
        </w:rPr>
      </w:pPr>
      <w:r w:rsidRPr="006C5FE3">
        <w:rPr>
          <w:rFonts w:ascii="Arial" w:hAnsi="Arial" w:cs="Arial"/>
          <w:sz w:val="22"/>
          <w:szCs w:val="22"/>
        </w:rPr>
        <w:t>Die Planungsabschnitte sollen in allen Gewerken, Verkehrsanlagen sowie für die Ingenieurbauwerke</w:t>
      </w:r>
      <w:r w:rsidR="004115DF">
        <w:rPr>
          <w:rFonts w:ascii="Arial" w:hAnsi="Arial" w:cs="Arial"/>
          <w:sz w:val="22"/>
          <w:szCs w:val="22"/>
        </w:rPr>
        <w:t xml:space="preserve">, sofern </w:t>
      </w:r>
      <w:proofErr w:type="gramStart"/>
      <w:r w:rsidR="004115DF">
        <w:rPr>
          <w:rFonts w:ascii="Arial" w:hAnsi="Arial" w:cs="Arial"/>
          <w:sz w:val="22"/>
          <w:szCs w:val="22"/>
        </w:rPr>
        <w:t>diese Bestandteil</w:t>
      </w:r>
      <w:proofErr w:type="gramEnd"/>
      <w:r w:rsidR="004115DF">
        <w:rPr>
          <w:rFonts w:ascii="Arial" w:hAnsi="Arial" w:cs="Arial"/>
          <w:sz w:val="22"/>
          <w:szCs w:val="22"/>
        </w:rPr>
        <w:t xml:space="preserve"> der Leistungserbringung sind,</w:t>
      </w:r>
      <w:r w:rsidRPr="006C5FE3">
        <w:rPr>
          <w:rFonts w:ascii="Arial" w:hAnsi="Arial" w:cs="Arial"/>
          <w:sz w:val="22"/>
          <w:szCs w:val="22"/>
        </w:rPr>
        <w:t xml:space="preserve"> auf gleichem Leistungsstand gebracht und gemäß der beauftragten Leistungsphasen dem Auftraggeber bzw. dessen Vertreter erörtert und für den jeweils folgenden Planungsschritt vorabgestimmt werden.</w:t>
      </w:r>
      <w:r w:rsidR="004115DF">
        <w:rPr>
          <w:rFonts w:ascii="Arial" w:hAnsi="Arial" w:cs="Arial"/>
          <w:sz w:val="22"/>
          <w:szCs w:val="22"/>
        </w:rPr>
        <w:t xml:space="preserve"> </w:t>
      </w:r>
    </w:p>
    <w:p w14:paraId="43A3AF55" w14:textId="77777777" w:rsidR="006214E0" w:rsidRPr="006C5FE3" w:rsidRDefault="006214E0" w:rsidP="001C4A46">
      <w:pPr>
        <w:spacing w:after="0" w:line="240" w:lineRule="auto"/>
        <w:jc w:val="both"/>
        <w:rPr>
          <w:rFonts w:ascii="Arial" w:hAnsi="Arial" w:cs="Arial"/>
          <w:sz w:val="22"/>
          <w:szCs w:val="22"/>
        </w:rPr>
      </w:pPr>
    </w:p>
    <w:p w14:paraId="2583928B" w14:textId="45ED9851" w:rsidR="006C5FE3" w:rsidRPr="006214E0" w:rsidRDefault="006C5FE3" w:rsidP="001C4A46">
      <w:pPr>
        <w:spacing w:after="0" w:line="240" w:lineRule="auto"/>
        <w:jc w:val="both"/>
        <w:rPr>
          <w:rFonts w:ascii="Arial" w:hAnsi="Arial" w:cs="Arial"/>
          <w:sz w:val="22"/>
          <w:szCs w:val="22"/>
          <w:u w:val="single"/>
        </w:rPr>
      </w:pPr>
      <w:r w:rsidRPr="006214E0">
        <w:rPr>
          <w:rFonts w:ascii="Arial" w:hAnsi="Arial" w:cs="Arial"/>
          <w:sz w:val="22"/>
          <w:szCs w:val="22"/>
          <w:u w:val="single"/>
        </w:rPr>
        <w:t>Angebotsform- und fristen</w:t>
      </w:r>
    </w:p>
    <w:p w14:paraId="282A6D80" w14:textId="01F8A12F" w:rsidR="006C5FE3" w:rsidRPr="006C5FE3" w:rsidRDefault="006C5FE3" w:rsidP="001C4A46">
      <w:pPr>
        <w:spacing w:after="0" w:line="240" w:lineRule="auto"/>
        <w:jc w:val="both"/>
        <w:rPr>
          <w:rFonts w:ascii="Arial" w:hAnsi="Arial" w:cs="Arial"/>
          <w:sz w:val="22"/>
          <w:szCs w:val="22"/>
        </w:rPr>
      </w:pPr>
      <w:r w:rsidRPr="00F822C2">
        <w:rPr>
          <w:rFonts w:ascii="Arial" w:hAnsi="Arial" w:cs="Arial"/>
          <w:sz w:val="22"/>
          <w:szCs w:val="22"/>
        </w:rPr>
        <w:t xml:space="preserve">Angebote sind ausschließlich elektronisch in Textform über die Vergabeplattform der DTVP / </w:t>
      </w:r>
      <w:proofErr w:type="spellStart"/>
      <w:r w:rsidRPr="00F822C2">
        <w:rPr>
          <w:rFonts w:ascii="Arial" w:hAnsi="Arial" w:cs="Arial"/>
          <w:sz w:val="22"/>
          <w:szCs w:val="22"/>
        </w:rPr>
        <w:t>cosinex</w:t>
      </w:r>
      <w:proofErr w:type="spellEnd"/>
      <w:r w:rsidRPr="00F822C2">
        <w:rPr>
          <w:rFonts w:ascii="Arial" w:hAnsi="Arial" w:cs="Arial"/>
          <w:sz w:val="22"/>
          <w:szCs w:val="22"/>
        </w:rPr>
        <w:t xml:space="preserve"> einzureichen. Angebotsfrist und Submissionstermin können den Vergabeunterlagen entnommen werden.</w:t>
      </w:r>
      <w:r w:rsidRPr="006C5FE3">
        <w:rPr>
          <w:rFonts w:ascii="Arial" w:hAnsi="Arial" w:cs="Arial"/>
          <w:sz w:val="22"/>
          <w:szCs w:val="22"/>
        </w:rPr>
        <w:t xml:space="preserve"> </w:t>
      </w:r>
    </w:p>
    <w:p w14:paraId="5AE72911" w14:textId="6AEB741A" w:rsidR="007A3625" w:rsidRDefault="007A3625" w:rsidP="001C4A46">
      <w:pPr>
        <w:spacing w:after="0" w:line="240" w:lineRule="auto"/>
        <w:jc w:val="both"/>
        <w:rPr>
          <w:rFonts w:ascii="Arial" w:hAnsi="Arial" w:cs="Arial"/>
          <w:sz w:val="22"/>
          <w:szCs w:val="22"/>
        </w:rPr>
      </w:pPr>
      <w:r w:rsidRPr="007A3625">
        <w:rPr>
          <w:rFonts w:ascii="Arial" w:hAnsi="Arial" w:cs="Arial"/>
          <w:sz w:val="22"/>
          <w:szCs w:val="22"/>
        </w:rPr>
        <w:t>Die bauliche Umsetzung ist für das Jahr 202</w:t>
      </w:r>
      <w:r w:rsidR="006C5FE3" w:rsidRPr="006C5FE3">
        <w:rPr>
          <w:rFonts w:ascii="Arial" w:hAnsi="Arial" w:cs="Arial"/>
          <w:sz w:val="22"/>
          <w:szCs w:val="22"/>
        </w:rPr>
        <w:t>7</w:t>
      </w:r>
      <w:r w:rsidRPr="007A3625">
        <w:rPr>
          <w:rFonts w:ascii="Arial" w:hAnsi="Arial" w:cs="Arial"/>
          <w:sz w:val="22"/>
          <w:szCs w:val="22"/>
        </w:rPr>
        <w:t> vorgesehen.</w:t>
      </w:r>
    </w:p>
    <w:p w14:paraId="3556EC12" w14:textId="77777777" w:rsidR="001C4A46" w:rsidRPr="007A3625" w:rsidRDefault="001C4A46" w:rsidP="001C4A46">
      <w:pPr>
        <w:spacing w:after="0" w:line="240" w:lineRule="auto"/>
        <w:jc w:val="both"/>
        <w:rPr>
          <w:rFonts w:ascii="Arial" w:hAnsi="Arial" w:cs="Arial"/>
          <w:sz w:val="22"/>
          <w:szCs w:val="22"/>
        </w:rPr>
      </w:pPr>
    </w:p>
    <w:p w14:paraId="332D09EB" w14:textId="77777777" w:rsidR="006C5FE3" w:rsidRPr="006C5FE3" w:rsidRDefault="006C5FE3" w:rsidP="001C4A46">
      <w:pPr>
        <w:spacing w:after="0" w:line="240" w:lineRule="auto"/>
        <w:jc w:val="both"/>
        <w:rPr>
          <w:rFonts w:ascii="Arial" w:hAnsi="Arial" w:cs="Arial"/>
          <w:sz w:val="22"/>
          <w:szCs w:val="22"/>
          <w:u w:val="single"/>
        </w:rPr>
      </w:pPr>
      <w:r w:rsidRPr="006C5FE3">
        <w:rPr>
          <w:rFonts w:ascii="Arial" w:hAnsi="Arial" w:cs="Arial"/>
          <w:sz w:val="22"/>
          <w:szCs w:val="22"/>
          <w:u w:val="single"/>
        </w:rPr>
        <w:t xml:space="preserve">Bindefrist und Beauftragung: </w:t>
      </w:r>
    </w:p>
    <w:p w14:paraId="61E257DB" w14:textId="77777777" w:rsidR="006C5FE3" w:rsidRPr="006C5FE3" w:rsidRDefault="006C5FE3" w:rsidP="001C4A46">
      <w:pPr>
        <w:spacing w:after="0" w:line="240" w:lineRule="auto"/>
        <w:jc w:val="both"/>
        <w:rPr>
          <w:rFonts w:ascii="Arial" w:hAnsi="Arial" w:cs="Arial"/>
          <w:sz w:val="22"/>
          <w:szCs w:val="22"/>
        </w:rPr>
      </w:pPr>
      <w:r w:rsidRPr="006C5FE3">
        <w:rPr>
          <w:rFonts w:ascii="Arial" w:hAnsi="Arial" w:cs="Arial"/>
          <w:sz w:val="22"/>
          <w:szCs w:val="22"/>
        </w:rPr>
        <w:t xml:space="preserve">Die Bindefrist beträgt 30 Tage. Da für die Beauftragung im Bedarfsfall ein Gremienbeschluss erforderlich werden kann, bitten wir Sie zu berücksichtigen, dass daraus ggf. eine Verlängerung der Bindefrist erfolgt. </w:t>
      </w:r>
    </w:p>
    <w:p w14:paraId="43516472" w14:textId="77777777" w:rsidR="006C5FE3" w:rsidRPr="006C5FE3" w:rsidRDefault="006C5FE3" w:rsidP="001C4A46">
      <w:pPr>
        <w:spacing w:after="0" w:line="240" w:lineRule="auto"/>
        <w:jc w:val="both"/>
        <w:rPr>
          <w:rFonts w:ascii="Arial" w:hAnsi="Arial" w:cs="Arial"/>
          <w:sz w:val="22"/>
          <w:szCs w:val="22"/>
        </w:rPr>
      </w:pPr>
    </w:p>
    <w:p w14:paraId="21BC7267" w14:textId="6366B880" w:rsidR="000F6DF5" w:rsidRPr="007A3625" w:rsidRDefault="006C5FE3" w:rsidP="007066FE">
      <w:pPr>
        <w:spacing w:after="0" w:line="240" w:lineRule="auto"/>
        <w:jc w:val="both"/>
        <w:rPr>
          <w:rFonts w:ascii="Arial" w:hAnsi="Arial" w:cs="Arial"/>
          <w:sz w:val="22"/>
          <w:szCs w:val="22"/>
        </w:rPr>
      </w:pPr>
      <w:r w:rsidRPr="006C5FE3">
        <w:rPr>
          <w:rFonts w:ascii="Arial" w:hAnsi="Arial" w:cs="Arial"/>
          <w:sz w:val="22"/>
          <w:szCs w:val="22"/>
        </w:rPr>
        <w:t>Im Auftrag:</w:t>
      </w:r>
    </w:p>
    <w:sectPr w:rsidR="000F6DF5" w:rsidRPr="007A36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C08D38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A7CAA"/>
    <w:multiLevelType w:val="hybridMultilevel"/>
    <w:tmpl w:val="764A9A2E"/>
    <w:lvl w:ilvl="0" w:tplc="641CFAA6">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C6203D"/>
    <w:multiLevelType w:val="hybridMultilevel"/>
    <w:tmpl w:val="33F6D9E2"/>
    <w:lvl w:ilvl="0" w:tplc="C1E27CE0">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A805B2"/>
    <w:multiLevelType w:val="multilevel"/>
    <w:tmpl w:val="600AD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F4C82"/>
    <w:multiLevelType w:val="hybridMultilevel"/>
    <w:tmpl w:val="6958B614"/>
    <w:lvl w:ilvl="0" w:tplc="4CC6D9F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06519D"/>
    <w:multiLevelType w:val="multilevel"/>
    <w:tmpl w:val="7590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757BC"/>
    <w:multiLevelType w:val="multilevel"/>
    <w:tmpl w:val="1E588C26"/>
    <w:lvl w:ilvl="0">
      <w:start w:val="1"/>
      <w:numFmt w:val="decimal"/>
      <w:lvlText w:val="%1."/>
      <w:lvlJc w:val="left"/>
      <w:pPr>
        <w:tabs>
          <w:tab w:val="num" w:pos="1776"/>
        </w:tabs>
        <w:ind w:left="1776" w:hanging="360"/>
      </w:pPr>
    </w:lvl>
    <w:lvl w:ilvl="1" w:tentative="1">
      <w:start w:val="1"/>
      <w:numFmt w:val="decimal"/>
      <w:lvlText w:val="%2."/>
      <w:lvlJc w:val="left"/>
      <w:pPr>
        <w:tabs>
          <w:tab w:val="num" w:pos="2496"/>
        </w:tabs>
        <w:ind w:left="2496" w:hanging="360"/>
      </w:pPr>
    </w:lvl>
    <w:lvl w:ilvl="2" w:tentative="1">
      <w:start w:val="1"/>
      <w:numFmt w:val="decimal"/>
      <w:lvlText w:val="%3."/>
      <w:lvlJc w:val="left"/>
      <w:pPr>
        <w:tabs>
          <w:tab w:val="num" w:pos="3216"/>
        </w:tabs>
        <w:ind w:left="3216" w:hanging="360"/>
      </w:pPr>
    </w:lvl>
    <w:lvl w:ilvl="3" w:tentative="1">
      <w:start w:val="1"/>
      <w:numFmt w:val="decimal"/>
      <w:lvlText w:val="%4."/>
      <w:lvlJc w:val="left"/>
      <w:pPr>
        <w:tabs>
          <w:tab w:val="num" w:pos="3936"/>
        </w:tabs>
        <w:ind w:left="3936" w:hanging="360"/>
      </w:pPr>
    </w:lvl>
    <w:lvl w:ilvl="4" w:tentative="1">
      <w:start w:val="1"/>
      <w:numFmt w:val="decimal"/>
      <w:lvlText w:val="%5."/>
      <w:lvlJc w:val="left"/>
      <w:pPr>
        <w:tabs>
          <w:tab w:val="num" w:pos="4656"/>
        </w:tabs>
        <w:ind w:left="4656" w:hanging="360"/>
      </w:pPr>
    </w:lvl>
    <w:lvl w:ilvl="5" w:tentative="1">
      <w:start w:val="1"/>
      <w:numFmt w:val="decimal"/>
      <w:lvlText w:val="%6."/>
      <w:lvlJc w:val="left"/>
      <w:pPr>
        <w:tabs>
          <w:tab w:val="num" w:pos="5376"/>
        </w:tabs>
        <w:ind w:left="5376" w:hanging="360"/>
      </w:pPr>
    </w:lvl>
    <w:lvl w:ilvl="6" w:tentative="1">
      <w:start w:val="1"/>
      <w:numFmt w:val="decimal"/>
      <w:lvlText w:val="%7."/>
      <w:lvlJc w:val="left"/>
      <w:pPr>
        <w:tabs>
          <w:tab w:val="num" w:pos="6096"/>
        </w:tabs>
        <w:ind w:left="6096" w:hanging="360"/>
      </w:pPr>
    </w:lvl>
    <w:lvl w:ilvl="7" w:tentative="1">
      <w:start w:val="1"/>
      <w:numFmt w:val="decimal"/>
      <w:lvlText w:val="%8."/>
      <w:lvlJc w:val="left"/>
      <w:pPr>
        <w:tabs>
          <w:tab w:val="num" w:pos="6816"/>
        </w:tabs>
        <w:ind w:left="6816" w:hanging="360"/>
      </w:pPr>
    </w:lvl>
    <w:lvl w:ilvl="8" w:tentative="1">
      <w:start w:val="1"/>
      <w:numFmt w:val="decimal"/>
      <w:lvlText w:val="%9."/>
      <w:lvlJc w:val="left"/>
      <w:pPr>
        <w:tabs>
          <w:tab w:val="num" w:pos="7536"/>
        </w:tabs>
        <w:ind w:left="7536" w:hanging="360"/>
      </w:pPr>
    </w:lvl>
  </w:abstractNum>
  <w:abstractNum w:abstractNumId="7" w15:restartNumberingAfterBreak="0">
    <w:nsid w:val="2E7A3116"/>
    <w:multiLevelType w:val="hybridMultilevel"/>
    <w:tmpl w:val="7682C720"/>
    <w:lvl w:ilvl="0" w:tplc="634E1D3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98C76A4"/>
    <w:multiLevelType w:val="multilevel"/>
    <w:tmpl w:val="7E3C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72F0F"/>
    <w:multiLevelType w:val="hybridMultilevel"/>
    <w:tmpl w:val="111265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EA83C69"/>
    <w:multiLevelType w:val="hybridMultilevel"/>
    <w:tmpl w:val="85940A12"/>
    <w:lvl w:ilvl="0" w:tplc="12E89390">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16cid:durableId="59062251">
    <w:abstractNumId w:val="6"/>
  </w:num>
  <w:num w:numId="2" w16cid:durableId="1999922384">
    <w:abstractNumId w:val="3"/>
  </w:num>
  <w:num w:numId="3" w16cid:durableId="1038581138">
    <w:abstractNumId w:val="8"/>
  </w:num>
  <w:num w:numId="4" w16cid:durableId="1400057804">
    <w:abstractNumId w:val="5"/>
  </w:num>
  <w:num w:numId="5" w16cid:durableId="548302548">
    <w:abstractNumId w:val="9"/>
  </w:num>
  <w:num w:numId="6" w16cid:durableId="2127312330">
    <w:abstractNumId w:val="1"/>
  </w:num>
  <w:num w:numId="7" w16cid:durableId="642930130">
    <w:abstractNumId w:val="4"/>
  </w:num>
  <w:num w:numId="8" w16cid:durableId="1014578567">
    <w:abstractNumId w:val="7"/>
  </w:num>
  <w:num w:numId="9" w16cid:durableId="433483609">
    <w:abstractNumId w:val="10"/>
  </w:num>
  <w:num w:numId="10" w16cid:durableId="2016686131">
    <w:abstractNumId w:val="2"/>
  </w:num>
  <w:num w:numId="11" w16cid:durableId="353843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25"/>
    <w:rsid w:val="00045D4A"/>
    <w:rsid w:val="000A6FBA"/>
    <w:rsid w:val="000E5229"/>
    <w:rsid w:val="000F6DF5"/>
    <w:rsid w:val="00117D8A"/>
    <w:rsid w:val="001C4A46"/>
    <w:rsid w:val="001E6EE6"/>
    <w:rsid w:val="00270FD3"/>
    <w:rsid w:val="002E00A8"/>
    <w:rsid w:val="00323CFF"/>
    <w:rsid w:val="00357095"/>
    <w:rsid w:val="0036378E"/>
    <w:rsid w:val="004115DF"/>
    <w:rsid w:val="00433624"/>
    <w:rsid w:val="0047564B"/>
    <w:rsid w:val="00494ADE"/>
    <w:rsid w:val="004D6FCB"/>
    <w:rsid w:val="0050487A"/>
    <w:rsid w:val="00521D74"/>
    <w:rsid w:val="005808F9"/>
    <w:rsid w:val="006214E0"/>
    <w:rsid w:val="00624745"/>
    <w:rsid w:val="006322AF"/>
    <w:rsid w:val="0066050D"/>
    <w:rsid w:val="00671CF3"/>
    <w:rsid w:val="00680C42"/>
    <w:rsid w:val="006C5FE3"/>
    <w:rsid w:val="006C7A36"/>
    <w:rsid w:val="007066FE"/>
    <w:rsid w:val="00715C0E"/>
    <w:rsid w:val="007352C3"/>
    <w:rsid w:val="007853B1"/>
    <w:rsid w:val="007A3625"/>
    <w:rsid w:val="007C107F"/>
    <w:rsid w:val="007E25DB"/>
    <w:rsid w:val="00825715"/>
    <w:rsid w:val="00830092"/>
    <w:rsid w:val="008871DB"/>
    <w:rsid w:val="008902A4"/>
    <w:rsid w:val="0089640A"/>
    <w:rsid w:val="009C1DA5"/>
    <w:rsid w:val="00A42107"/>
    <w:rsid w:val="00AB3F44"/>
    <w:rsid w:val="00AC2134"/>
    <w:rsid w:val="00AE2A25"/>
    <w:rsid w:val="00B27CC1"/>
    <w:rsid w:val="00B52FDD"/>
    <w:rsid w:val="00B55766"/>
    <w:rsid w:val="00B61B5C"/>
    <w:rsid w:val="00BB3319"/>
    <w:rsid w:val="00BE7AA9"/>
    <w:rsid w:val="00C42546"/>
    <w:rsid w:val="00C51D87"/>
    <w:rsid w:val="00C575E5"/>
    <w:rsid w:val="00C928B9"/>
    <w:rsid w:val="00CA3F9E"/>
    <w:rsid w:val="00CC558D"/>
    <w:rsid w:val="00D81F6E"/>
    <w:rsid w:val="00D87CD1"/>
    <w:rsid w:val="00E27F59"/>
    <w:rsid w:val="00E96D10"/>
    <w:rsid w:val="00EA32F8"/>
    <w:rsid w:val="00EC0FF1"/>
    <w:rsid w:val="00F25EB8"/>
    <w:rsid w:val="00F36576"/>
    <w:rsid w:val="00F444CD"/>
    <w:rsid w:val="00F822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0DF2"/>
  <w15:chartTrackingRefBased/>
  <w15:docId w15:val="{0D8C0659-0E87-4306-A402-596AF6243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A3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A3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A362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362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362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362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362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362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362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362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A362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362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362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362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362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362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362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3625"/>
    <w:rPr>
      <w:rFonts w:eastAsiaTheme="majorEastAsia" w:cstheme="majorBidi"/>
      <w:color w:val="272727" w:themeColor="text1" w:themeTint="D8"/>
    </w:rPr>
  </w:style>
  <w:style w:type="paragraph" w:styleId="Titel">
    <w:name w:val="Title"/>
    <w:basedOn w:val="Standard"/>
    <w:next w:val="Standard"/>
    <w:link w:val="TitelZchn"/>
    <w:uiPriority w:val="10"/>
    <w:qFormat/>
    <w:rsid w:val="007A3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362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362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362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362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3625"/>
    <w:rPr>
      <w:i/>
      <w:iCs/>
      <w:color w:val="404040" w:themeColor="text1" w:themeTint="BF"/>
    </w:rPr>
  </w:style>
  <w:style w:type="paragraph" w:styleId="Listenabsatz">
    <w:name w:val="List Paragraph"/>
    <w:basedOn w:val="Standard"/>
    <w:uiPriority w:val="34"/>
    <w:qFormat/>
    <w:rsid w:val="007A3625"/>
    <w:pPr>
      <w:ind w:left="720"/>
      <w:contextualSpacing/>
    </w:pPr>
  </w:style>
  <w:style w:type="character" w:styleId="IntensiveHervorhebung">
    <w:name w:val="Intense Emphasis"/>
    <w:basedOn w:val="Absatz-Standardschriftart"/>
    <w:uiPriority w:val="21"/>
    <w:qFormat/>
    <w:rsid w:val="007A3625"/>
    <w:rPr>
      <w:i/>
      <w:iCs/>
      <w:color w:val="0F4761" w:themeColor="accent1" w:themeShade="BF"/>
    </w:rPr>
  </w:style>
  <w:style w:type="paragraph" w:styleId="IntensivesZitat">
    <w:name w:val="Intense Quote"/>
    <w:basedOn w:val="Standard"/>
    <w:next w:val="Standard"/>
    <w:link w:val="IntensivesZitatZchn"/>
    <w:uiPriority w:val="30"/>
    <w:qFormat/>
    <w:rsid w:val="007A3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3625"/>
    <w:rPr>
      <w:i/>
      <w:iCs/>
      <w:color w:val="0F4761" w:themeColor="accent1" w:themeShade="BF"/>
    </w:rPr>
  </w:style>
  <w:style w:type="character" w:styleId="IntensiverVerweis">
    <w:name w:val="Intense Reference"/>
    <w:basedOn w:val="Absatz-Standardschriftart"/>
    <w:uiPriority w:val="32"/>
    <w:qFormat/>
    <w:rsid w:val="007A3625"/>
    <w:rPr>
      <w:b/>
      <w:bCs/>
      <w:smallCaps/>
      <w:color w:val="0F4761" w:themeColor="accent1" w:themeShade="BF"/>
      <w:spacing w:val="5"/>
    </w:rPr>
  </w:style>
  <w:style w:type="paragraph" w:styleId="Aufzhlungszeichen">
    <w:name w:val="List Bullet"/>
    <w:basedOn w:val="Standard"/>
    <w:uiPriority w:val="99"/>
    <w:unhideWhenUsed/>
    <w:rsid w:val="00C51D87"/>
    <w:pPr>
      <w:numPr>
        <w:numId w:val="11"/>
      </w:numPr>
      <w:spacing w:after="120" w:line="288" w:lineRule="auto"/>
      <w:contextualSpacing/>
    </w:pPr>
    <w:rPr>
      <w:rFonts w:ascii="Arial" w:eastAsiaTheme="minorEastAsia" w:hAnsi="Arial"/>
      <w:color w:val="333333"/>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696136">
      <w:bodyDiv w:val="1"/>
      <w:marLeft w:val="0"/>
      <w:marRight w:val="0"/>
      <w:marTop w:val="0"/>
      <w:marBottom w:val="0"/>
      <w:divBdr>
        <w:top w:val="none" w:sz="0" w:space="0" w:color="auto"/>
        <w:left w:val="none" w:sz="0" w:space="0" w:color="auto"/>
        <w:bottom w:val="none" w:sz="0" w:space="0" w:color="auto"/>
        <w:right w:val="none" w:sz="0" w:space="0" w:color="auto"/>
      </w:divBdr>
      <w:divsChild>
        <w:div w:id="1961911160">
          <w:marLeft w:val="0"/>
          <w:marRight w:val="0"/>
          <w:marTop w:val="180"/>
          <w:marBottom w:val="240"/>
          <w:divBdr>
            <w:top w:val="none" w:sz="0" w:space="0" w:color="auto"/>
            <w:left w:val="none" w:sz="0" w:space="0" w:color="auto"/>
            <w:bottom w:val="none" w:sz="0" w:space="0" w:color="auto"/>
            <w:right w:val="none" w:sz="0" w:space="0" w:color="auto"/>
          </w:divBdr>
        </w:div>
        <w:div w:id="276763206">
          <w:marLeft w:val="0"/>
          <w:marRight w:val="0"/>
          <w:marTop w:val="180"/>
          <w:marBottom w:val="240"/>
          <w:divBdr>
            <w:top w:val="none" w:sz="0" w:space="0" w:color="auto"/>
            <w:left w:val="none" w:sz="0" w:space="0" w:color="auto"/>
            <w:bottom w:val="none" w:sz="0" w:space="0" w:color="auto"/>
            <w:right w:val="none" w:sz="0" w:space="0" w:color="auto"/>
          </w:divBdr>
        </w:div>
      </w:divsChild>
    </w:div>
    <w:div w:id="527180793">
      <w:bodyDiv w:val="1"/>
      <w:marLeft w:val="0"/>
      <w:marRight w:val="0"/>
      <w:marTop w:val="0"/>
      <w:marBottom w:val="0"/>
      <w:divBdr>
        <w:top w:val="none" w:sz="0" w:space="0" w:color="auto"/>
        <w:left w:val="none" w:sz="0" w:space="0" w:color="auto"/>
        <w:bottom w:val="none" w:sz="0" w:space="0" w:color="auto"/>
        <w:right w:val="none" w:sz="0" w:space="0" w:color="auto"/>
      </w:divBdr>
      <w:divsChild>
        <w:div w:id="376467665">
          <w:marLeft w:val="0"/>
          <w:marRight w:val="0"/>
          <w:marTop w:val="180"/>
          <w:marBottom w:val="240"/>
          <w:divBdr>
            <w:top w:val="none" w:sz="0" w:space="0" w:color="auto"/>
            <w:left w:val="none" w:sz="0" w:space="0" w:color="auto"/>
            <w:bottom w:val="none" w:sz="0" w:space="0" w:color="auto"/>
            <w:right w:val="none" w:sz="0" w:space="0" w:color="auto"/>
          </w:divBdr>
        </w:div>
        <w:div w:id="493881732">
          <w:marLeft w:val="0"/>
          <w:marRight w:val="0"/>
          <w:marTop w:val="180"/>
          <w:marBottom w:val="240"/>
          <w:divBdr>
            <w:top w:val="none" w:sz="0" w:space="0" w:color="auto"/>
            <w:left w:val="none" w:sz="0" w:space="0" w:color="auto"/>
            <w:bottom w:val="none" w:sz="0" w:space="0" w:color="auto"/>
            <w:right w:val="none" w:sz="0" w:space="0" w:color="auto"/>
          </w:divBdr>
        </w:div>
      </w:divsChild>
    </w:div>
    <w:div w:id="724179769">
      <w:bodyDiv w:val="1"/>
      <w:marLeft w:val="0"/>
      <w:marRight w:val="0"/>
      <w:marTop w:val="0"/>
      <w:marBottom w:val="0"/>
      <w:divBdr>
        <w:top w:val="none" w:sz="0" w:space="0" w:color="auto"/>
        <w:left w:val="none" w:sz="0" w:space="0" w:color="auto"/>
        <w:bottom w:val="none" w:sz="0" w:space="0" w:color="auto"/>
        <w:right w:val="none" w:sz="0" w:space="0" w:color="auto"/>
      </w:divBdr>
      <w:divsChild>
        <w:div w:id="864682662">
          <w:marLeft w:val="0"/>
          <w:marRight w:val="0"/>
          <w:marTop w:val="180"/>
          <w:marBottom w:val="240"/>
          <w:divBdr>
            <w:top w:val="none" w:sz="0" w:space="0" w:color="auto"/>
            <w:left w:val="none" w:sz="0" w:space="0" w:color="auto"/>
            <w:bottom w:val="none" w:sz="0" w:space="0" w:color="auto"/>
            <w:right w:val="none" w:sz="0" w:space="0" w:color="auto"/>
          </w:divBdr>
        </w:div>
        <w:div w:id="4477556">
          <w:marLeft w:val="0"/>
          <w:marRight w:val="0"/>
          <w:marTop w:val="180"/>
          <w:marBottom w:val="240"/>
          <w:divBdr>
            <w:top w:val="none" w:sz="0" w:space="0" w:color="auto"/>
            <w:left w:val="none" w:sz="0" w:space="0" w:color="auto"/>
            <w:bottom w:val="none" w:sz="0" w:space="0" w:color="auto"/>
            <w:right w:val="none" w:sz="0" w:space="0" w:color="auto"/>
          </w:divBdr>
        </w:div>
        <w:div w:id="1037655805">
          <w:marLeft w:val="0"/>
          <w:marRight w:val="0"/>
          <w:marTop w:val="180"/>
          <w:marBottom w:val="240"/>
          <w:divBdr>
            <w:top w:val="none" w:sz="0" w:space="0" w:color="auto"/>
            <w:left w:val="none" w:sz="0" w:space="0" w:color="auto"/>
            <w:bottom w:val="none" w:sz="0" w:space="0" w:color="auto"/>
            <w:right w:val="none" w:sz="0" w:space="0" w:color="auto"/>
          </w:divBdr>
        </w:div>
      </w:divsChild>
    </w:div>
    <w:div w:id="1320694997">
      <w:bodyDiv w:val="1"/>
      <w:marLeft w:val="0"/>
      <w:marRight w:val="0"/>
      <w:marTop w:val="0"/>
      <w:marBottom w:val="0"/>
      <w:divBdr>
        <w:top w:val="none" w:sz="0" w:space="0" w:color="auto"/>
        <w:left w:val="none" w:sz="0" w:space="0" w:color="auto"/>
        <w:bottom w:val="none" w:sz="0" w:space="0" w:color="auto"/>
        <w:right w:val="none" w:sz="0" w:space="0" w:color="auto"/>
      </w:divBdr>
      <w:divsChild>
        <w:div w:id="819613785">
          <w:marLeft w:val="0"/>
          <w:marRight w:val="0"/>
          <w:marTop w:val="180"/>
          <w:marBottom w:val="240"/>
          <w:divBdr>
            <w:top w:val="none" w:sz="0" w:space="0" w:color="auto"/>
            <w:left w:val="none" w:sz="0" w:space="0" w:color="auto"/>
            <w:bottom w:val="none" w:sz="0" w:space="0" w:color="auto"/>
            <w:right w:val="none" w:sz="0" w:space="0" w:color="auto"/>
          </w:divBdr>
        </w:div>
        <w:div w:id="1294480869">
          <w:marLeft w:val="0"/>
          <w:marRight w:val="0"/>
          <w:marTop w:val="0"/>
          <w:marBottom w:val="0"/>
          <w:divBdr>
            <w:top w:val="none" w:sz="0" w:space="0" w:color="auto"/>
            <w:left w:val="none" w:sz="0" w:space="0" w:color="auto"/>
            <w:bottom w:val="none" w:sz="0" w:space="0" w:color="auto"/>
            <w:right w:val="none" w:sz="0" w:space="0" w:color="auto"/>
          </w:divBdr>
        </w:div>
        <w:div w:id="514929476">
          <w:marLeft w:val="0"/>
          <w:marRight w:val="0"/>
          <w:marTop w:val="180"/>
          <w:marBottom w:val="240"/>
          <w:divBdr>
            <w:top w:val="none" w:sz="0" w:space="0" w:color="auto"/>
            <w:left w:val="none" w:sz="0" w:space="0" w:color="auto"/>
            <w:bottom w:val="none" w:sz="0" w:space="0" w:color="auto"/>
            <w:right w:val="none" w:sz="0" w:space="0" w:color="auto"/>
          </w:divBdr>
        </w:div>
        <w:div w:id="1368867296">
          <w:marLeft w:val="0"/>
          <w:marRight w:val="0"/>
          <w:marTop w:val="0"/>
          <w:marBottom w:val="0"/>
          <w:divBdr>
            <w:top w:val="none" w:sz="0" w:space="0" w:color="auto"/>
            <w:left w:val="none" w:sz="0" w:space="0" w:color="auto"/>
            <w:bottom w:val="none" w:sz="0" w:space="0" w:color="auto"/>
            <w:right w:val="none" w:sz="0" w:space="0" w:color="auto"/>
          </w:divBdr>
        </w:div>
        <w:div w:id="239602089">
          <w:marLeft w:val="0"/>
          <w:marRight w:val="0"/>
          <w:marTop w:val="0"/>
          <w:marBottom w:val="0"/>
          <w:divBdr>
            <w:top w:val="none" w:sz="0" w:space="0" w:color="auto"/>
            <w:left w:val="none" w:sz="0" w:space="0" w:color="auto"/>
            <w:bottom w:val="none" w:sz="0" w:space="0" w:color="auto"/>
            <w:right w:val="none" w:sz="0" w:space="0" w:color="auto"/>
          </w:divBdr>
        </w:div>
      </w:divsChild>
    </w:div>
    <w:div w:id="1628657569">
      <w:bodyDiv w:val="1"/>
      <w:marLeft w:val="0"/>
      <w:marRight w:val="0"/>
      <w:marTop w:val="0"/>
      <w:marBottom w:val="0"/>
      <w:divBdr>
        <w:top w:val="none" w:sz="0" w:space="0" w:color="auto"/>
        <w:left w:val="none" w:sz="0" w:space="0" w:color="auto"/>
        <w:bottom w:val="none" w:sz="0" w:space="0" w:color="auto"/>
        <w:right w:val="none" w:sz="0" w:space="0" w:color="auto"/>
      </w:divBdr>
      <w:divsChild>
        <w:div w:id="394357241">
          <w:marLeft w:val="0"/>
          <w:marRight w:val="0"/>
          <w:marTop w:val="180"/>
          <w:marBottom w:val="240"/>
          <w:divBdr>
            <w:top w:val="none" w:sz="0" w:space="0" w:color="auto"/>
            <w:left w:val="none" w:sz="0" w:space="0" w:color="auto"/>
            <w:bottom w:val="none" w:sz="0" w:space="0" w:color="auto"/>
            <w:right w:val="none" w:sz="0" w:space="0" w:color="auto"/>
          </w:divBdr>
        </w:div>
        <w:div w:id="2046560375">
          <w:marLeft w:val="0"/>
          <w:marRight w:val="0"/>
          <w:marTop w:val="0"/>
          <w:marBottom w:val="0"/>
          <w:divBdr>
            <w:top w:val="none" w:sz="0" w:space="0" w:color="auto"/>
            <w:left w:val="none" w:sz="0" w:space="0" w:color="auto"/>
            <w:bottom w:val="none" w:sz="0" w:space="0" w:color="auto"/>
            <w:right w:val="none" w:sz="0" w:space="0" w:color="auto"/>
          </w:divBdr>
        </w:div>
        <w:div w:id="1442340500">
          <w:marLeft w:val="0"/>
          <w:marRight w:val="0"/>
          <w:marTop w:val="180"/>
          <w:marBottom w:val="240"/>
          <w:divBdr>
            <w:top w:val="none" w:sz="0" w:space="0" w:color="auto"/>
            <w:left w:val="none" w:sz="0" w:space="0" w:color="auto"/>
            <w:bottom w:val="none" w:sz="0" w:space="0" w:color="auto"/>
            <w:right w:val="none" w:sz="0" w:space="0" w:color="auto"/>
          </w:divBdr>
        </w:div>
        <w:div w:id="2092775751">
          <w:marLeft w:val="0"/>
          <w:marRight w:val="0"/>
          <w:marTop w:val="0"/>
          <w:marBottom w:val="0"/>
          <w:divBdr>
            <w:top w:val="none" w:sz="0" w:space="0" w:color="auto"/>
            <w:left w:val="none" w:sz="0" w:space="0" w:color="auto"/>
            <w:bottom w:val="none" w:sz="0" w:space="0" w:color="auto"/>
            <w:right w:val="none" w:sz="0" w:space="0" w:color="auto"/>
          </w:divBdr>
        </w:div>
        <w:div w:id="265507636">
          <w:marLeft w:val="0"/>
          <w:marRight w:val="0"/>
          <w:marTop w:val="0"/>
          <w:marBottom w:val="0"/>
          <w:divBdr>
            <w:top w:val="none" w:sz="0" w:space="0" w:color="auto"/>
            <w:left w:val="none" w:sz="0" w:space="0" w:color="auto"/>
            <w:bottom w:val="none" w:sz="0" w:space="0" w:color="auto"/>
            <w:right w:val="none" w:sz="0" w:space="0" w:color="auto"/>
          </w:divBdr>
        </w:div>
      </w:divsChild>
    </w:div>
    <w:div w:id="1939826394">
      <w:bodyDiv w:val="1"/>
      <w:marLeft w:val="0"/>
      <w:marRight w:val="0"/>
      <w:marTop w:val="0"/>
      <w:marBottom w:val="0"/>
      <w:divBdr>
        <w:top w:val="none" w:sz="0" w:space="0" w:color="auto"/>
        <w:left w:val="none" w:sz="0" w:space="0" w:color="auto"/>
        <w:bottom w:val="none" w:sz="0" w:space="0" w:color="auto"/>
        <w:right w:val="none" w:sz="0" w:space="0" w:color="auto"/>
      </w:divBdr>
      <w:divsChild>
        <w:div w:id="236980144">
          <w:marLeft w:val="0"/>
          <w:marRight w:val="0"/>
          <w:marTop w:val="180"/>
          <w:marBottom w:val="240"/>
          <w:divBdr>
            <w:top w:val="none" w:sz="0" w:space="0" w:color="auto"/>
            <w:left w:val="none" w:sz="0" w:space="0" w:color="auto"/>
            <w:bottom w:val="none" w:sz="0" w:space="0" w:color="auto"/>
            <w:right w:val="none" w:sz="0" w:space="0" w:color="auto"/>
          </w:divBdr>
        </w:div>
        <w:div w:id="2041852685">
          <w:marLeft w:val="0"/>
          <w:marRight w:val="0"/>
          <w:marTop w:val="180"/>
          <w:marBottom w:val="240"/>
          <w:divBdr>
            <w:top w:val="none" w:sz="0" w:space="0" w:color="auto"/>
            <w:left w:val="none" w:sz="0" w:space="0" w:color="auto"/>
            <w:bottom w:val="none" w:sz="0" w:space="0" w:color="auto"/>
            <w:right w:val="none" w:sz="0" w:space="0" w:color="auto"/>
          </w:divBdr>
        </w:div>
        <w:div w:id="426460781">
          <w:marLeft w:val="0"/>
          <w:marRight w:val="0"/>
          <w:marTop w:val="180"/>
          <w:marBottom w:val="240"/>
          <w:divBdr>
            <w:top w:val="none" w:sz="0" w:space="0" w:color="auto"/>
            <w:left w:val="none" w:sz="0" w:space="0" w:color="auto"/>
            <w:bottom w:val="none" w:sz="0" w:space="0" w:color="auto"/>
            <w:right w:val="none" w:sz="0" w:space="0" w:color="auto"/>
          </w:divBdr>
        </w:div>
      </w:divsChild>
    </w:div>
    <w:div w:id="1964070443">
      <w:bodyDiv w:val="1"/>
      <w:marLeft w:val="0"/>
      <w:marRight w:val="0"/>
      <w:marTop w:val="0"/>
      <w:marBottom w:val="0"/>
      <w:divBdr>
        <w:top w:val="none" w:sz="0" w:space="0" w:color="auto"/>
        <w:left w:val="none" w:sz="0" w:space="0" w:color="auto"/>
        <w:bottom w:val="none" w:sz="0" w:space="0" w:color="auto"/>
        <w:right w:val="none" w:sz="0" w:space="0" w:color="auto"/>
      </w:divBdr>
      <w:divsChild>
        <w:div w:id="149905422">
          <w:marLeft w:val="0"/>
          <w:marRight w:val="0"/>
          <w:marTop w:val="180"/>
          <w:marBottom w:val="240"/>
          <w:divBdr>
            <w:top w:val="none" w:sz="0" w:space="0" w:color="auto"/>
            <w:left w:val="none" w:sz="0" w:space="0" w:color="auto"/>
            <w:bottom w:val="none" w:sz="0" w:space="0" w:color="auto"/>
            <w:right w:val="none" w:sz="0" w:space="0" w:color="auto"/>
          </w:divBdr>
        </w:div>
        <w:div w:id="558714080">
          <w:marLeft w:val="0"/>
          <w:marRight w:val="0"/>
          <w:marTop w:val="180"/>
          <w:marBottom w:val="240"/>
          <w:divBdr>
            <w:top w:val="none" w:sz="0" w:space="0" w:color="auto"/>
            <w:left w:val="none" w:sz="0" w:space="0" w:color="auto"/>
            <w:bottom w:val="none" w:sz="0" w:space="0" w:color="auto"/>
            <w:right w:val="none" w:sz="0" w:space="0" w:color="auto"/>
          </w:divBdr>
        </w:div>
        <w:div w:id="1508325987">
          <w:marLeft w:val="0"/>
          <w:marRight w:val="0"/>
          <w:marTop w:val="180"/>
          <w:marBottom w:val="240"/>
          <w:divBdr>
            <w:top w:val="none" w:sz="0" w:space="0" w:color="auto"/>
            <w:left w:val="none" w:sz="0" w:space="0" w:color="auto"/>
            <w:bottom w:val="none" w:sz="0" w:space="0" w:color="auto"/>
            <w:right w:val="none" w:sz="0" w:space="0" w:color="auto"/>
          </w:divBdr>
        </w:div>
      </w:divsChild>
    </w:div>
    <w:div w:id="2058696608">
      <w:bodyDiv w:val="1"/>
      <w:marLeft w:val="0"/>
      <w:marRight w:val="0"/>
      <w:marTop w:val="0"/>
      <w:marBottom w:val="0"/>
      <w:divBdr>
        <w:top w:val="none" w:sz="0" w:space="0" w:color="auto"/>
        <w:left w:val="none" w:sz="0" w:space="0" w:color="auto"/>
        <w:bottom w:val="none" w:sz="0" w:space="0" w:color="auto"/>
        <w:right w:val="none" w:sz="0" w:space="0" w:color="auto"/>
      </w:divBdr>
      <w:divsChild>
        <w:div w:id="1682589898">
          <w:marLeft w:val="0"/>
          <w:marRight w:val="0"/>
          <w:marTop w:val="180"/>
          <w:marBottom w:val="240"/>
          <w:divBdr>
            <w:top w:val="none" w:sz="0" w:space="0" w:color="auto"/>
            <w:left w:val="none" w:sz="0" w:space="0" w:color="auto"/>
            <w:bottom w:val="none" w:sz="0" w:space="0" w:color="auto"/>
            <w:right w:val="none" w:sz="0" w:space="0" w:color="auto"/>
          </w:divBdr>
        </w:div>
        <w:div w:id="2089502053">
          <w:marLeft w:val="0"/>
          <w:marRight w:val="0"/>
          <w:marTop w:val="180"/>
          <w:marBottom w:val="240"/>
          <w:divBdr>
            <w:top w:val="none" w:sz="0" w:space="0" w:color="auto"/>
            <w:left w:val="none" w:sz="0" w:space="0" w:color="auto"/>
            <w:bottom w:val="none" w:sz="0" w:space="0" w:color="auto"/>
            <w:right w:val="none" w:sz="0" w:space="0" w:color="auto"/>
          </w:divBdr>
        </w:div>
        <w:div w:id="112284777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5D86B-3A96-42E4-88C3-BCD257E28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5516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Otschkowski, Wlad - VG Wirges</dc:creator>
  <cp:keywords/>
  <dc:description/>
  <cp:lastModifiedBy>Otschkowski, Wlad - VG Wirges</cp:lastModifiedBy>
  <cp:revision>40</cp:revision>
  <cp:lastPrinted>2026-10-13T09:32:00Z</cp:lastPrinted>
  <dcterms:created xsi:type="dcterms:W3CDTF">2026-04-20T13:03:00Z</dcterms:created>
  <dcterms:modified xsi:type="dcterms:W3CDTF">2026-10-21T07:40:00Z</dcterms:modified>
</cp:coreProperties>
</file>