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D0750" w:rsidRPr="008B7FCB" w:rsidRDefault="006D0750" w:rsidP="006D0750">
      <w:pPr>
        <w:autoSpaceDE w:val="0"/>
        <w:autoSpaceDN w:val="0"/>
        <w:adjustRightInd w:val="0"/>
        <w:spacing w:after="0" w:line="240" w:lineRule="auto"/>
        <w:rPr>
          <w:rFonts w:ascii="Arial" w:hAnsi="Arial" w:cs="Arial"/>
          <w:b/>
          <w:bCs/>
          <w:sz w:val="32"/>
          <w:szCs w:val="32"/>
        </w:rPr>
      </w:pPr>
      <w:r w:rsidRPr="008B7FCB">
        <w:rPr>
          <w:rFonts w:ascii="Arial" w:hAnsi="Arial" w:cs="Arial"/>
          <w:b/>
          <w:bCs/>
          <w:sz w:val="32"/>
          <w:szCs w:val="32"/>
        </w:rPr>
        <w:t>Leistungsbeschreibung und Zuschlagskriterien</w:t>
      </w:r>
    </w:p>
    <w:p w:rsidR="006D0750" w:rsidRPr="008B7FCB" w:rsidRDefault="006D0750" w:rsidP="006D0750">
      <w:pPr>
        <w:autoSpaceDE w:val="0"/>
        <w:autoSpaceDN w:val="0"/>
        <w:adjustRightInd w:val="0"/>
        <w:spacing w:after="0" w:line="240" w:lineRule="auto"/>
        <w:rPr>
          <w:rFonts w:ascii="Arial" w:hAnsi="Arial" w:cs="Arial"/>
          <w:b/>
          <w:bCs/>
          <w:sz w:val="32"/>
          <w:szCs w:val="32"/>
        </w:rPr>
      </w:pPr>
    </w:p>
    <w:p w:rsidR="006D0750" w:rsidRPr="008B7FCB" w:rsidRDefault="006D0750" w:rsidP="006D0750">
      <w:pPr>
        <w:autoSpaceDE w:val="0"/>
        <w:autoSpaceDN w:val="0"/>
        <w:adjustRightInd w:val="0"/>
        <w:spacing w:after="0" w:line="240" w:lineRule="auto"/>
        <w:jc w:val="both"/>
        <w:rPr>
          <w:rFonts w:ascii="Arial" w:hAnsi="Arial" w:cs="Arial"/>
        </w:rPr>
      </w:pPr>
      <w:r w:rsidRPr="008B7FCB">
        <w:rPr>
          <w:rFonts w:ascii="Arial" w:hAnsi="Arial" w:cs="Arial"/>
        </w:rPr>
        <w:t>Der Eigen- und Wirtschaftsbetriebes Frankenthal (Pfalz) schreibt zum 01.01.2027 für eine Laufzeit von zwei Jahren die Übernahme und Verwertung von Altholz aus der Stadt Frankenthal in der Pfalz aus. Der AG kann durch einseitige schriftliche Erklärung gegenüber dem AN, die bis drei Monate vor Vertragsende zugegangen sein muss, den Vertrag einmalig um ein weiteres Jahr zu unveränderten Bedingungen verlängern (Verlängerungsoption). Die Beauftragung endet somit spätestens zum 31.12.2029.</w:t>
      </w:r>
    </w:p>
    <w:p w:rsidR="006D0750" w:rsidRPr="008B7FCB" w:rsidRDefault="006D0750" w:rsidP="006D0750">
      <w:pPr>
        <w:autoSpaceDE w:val="0"/>
        <w:autoSpaceDN w:val="0"/>
        <w:adjustRightInd w:val="0"/>
        <w:spacing w:after="0" w:line="240" w:lineRule="auto"/>
        <w:jc w:val="both"/>
        <w:rPr>
          <w:rFonts w:ascii="Arial" w:hAnsi="Arial" w:cs="Arial"/>
        </w:rPr>
      </w:pPr>
    </w:p>
    <w:p w:rsidR="000D1935" w:rsidRDefault="006D0750" w:rsidP="006D0750">
      <w:pPr>
        <w:autoSpaceDE w:val="0"/>
        <w:autoSpaceDN w:val="0"/>
        <w:adjustRightInd w:val="0"/>
        <w:spacing w:after="0" w:line="240" w:lineRule="auto"/>
        <w:jc w:val="both"/>
        <w:rPr>
          <w:rFonts w:ascii="Arial" w:hAnsi="Arial" w:cs="Arial"/>
          <w:strike/>
          <w:color w:val="FF0000"/>
        </w:rPr>
      </w:pPr>
      <w:r w:rsidRPr="008B7FCB">
        <w:rPr>
          <w:rFonts w:ascii="Arial" w:hAnsi="Arial" w:cs="Arial"/>
        </w:rPr>
        <w:t xml:space="preserve">Leistungsgegenstand ist die Übernahme, ggf. der Nachtransport und die Verwertung der vertragsgegenständlichen Fraktionen. </w:t>
      </w:r>
    </w:p>
    <w:p w:rsidR="006D0750" w:rsidRPr="00B0374C" w:rsidRDefault="00BE4B9F" w:rsidP="006D0750">
      <w:pPr>
        <w:autoSpaceDE w:val="0"/>
        <w:autoSpaceDN w:val="0"/>
        <w:adjustRightInd w:val="0"/>
        <w:spacing w:after="0" w:line="240" w:lineRule="auto"/>
        <w:jc w:val="both"/>
        <w:rPr>
          <w:rFonts w:ascii="Arial" w:hAnsi="Arial" w:cs="Arial"/>
        </w:rPr>
      </w:pPr>
      <w:r>
        <w:rPr>
          <w:rFonts w:ascii="Arial" w:hAnsi="Arial" w:cs="Arial"/>
        </w:rPr>
        <w:t>Weitere Informationen</w:t>
      </w:r>
      <w:r w:rsidR="00A42174">
        <w:rPr>
          <w:rFonts w:ascii="Arial" w:hAnsi="Arial" w:cs="Arial"/>
        </w:rPr>
        <w:t xml:space="preserve"> zur Leistungserbringung</w:t>
      </w:r>
      <w:r>
        <w:rPr>
          <w:rFonts w:ascii="Arial" w:hAnsi="Arial" w:cs="Arial"/>
        </w:rPr>
        <w:t xml:space="preserve"> sowie</w:t>
      </w:r>
      <w:r w:rsidR="00B0374C">
        <w:rPr>
          <w:rFonts w:ascii="Arial" w:hAnsi="Arial" w:cs="Arial"/>
        </w:rPr>
        <w:t xml:space="preserve"> Begriff</w:t>
      </w:r>
      <w:r w:rsidR="000D1935">
        <w:rPr>
          <w:rFonts w:ascii="Arial" w:hAnsi="Arial" w:cs="Arial"/>
        </w:rPr>
        <w:t>s</w:t>
      </w:r>
      <w:r w:rsidR="00B0374C">
        <w:rPr>
          <w:rFonts w:ascii="Arial" w:hAnsi="Arial" w:cs="Arial"/>
        </w:rPr>
        <w:t>bestimmungen sind der Anlage 2 zu entnehmen.</w:t>
      </w:r>
    </w:p>
    <w:p w:rsidR="006D0750" w:rsidRDefault="006D0750" w:rsidP="006D0750">
      <w:pPr>
        <w:autoSpaceDE w:val="0"/>
        <w:autoSpaceDN w:val="0"/>
        <w:adjustRightInd w:val="0"/>
        <w:spacing w:after="0" w:line="240" w:lineRule="auto"/>
        <w:rPr>
          <w:rFonts w:ascii="Arial" w:hAnsi="Arial" w:cs="Arial"/>
        </w:rPr>
      </w:pPr>
    </w:p>
    <w:p w:rsidR="00593B3E" w:rsidRPr="008B7FCB" w:rsidRDefault="00593B3E" w:rsidP="006D0750">
      <w:pPr>
        <w:autoSpaceDE w:val="0"/>
        <w:autoSpaceDN w:val="0"/>
        <w:adjustRightInd w:val="0"/>
        <w:spacing w:after="0" w:line="240" w:lineRule="auto"/>
        <w:rPr>
          <w:rFonts w:ascii="Arial" w:hAnsi="Arial" w:cs="Arial"/>
        </w:rPr>
      </w:pPr>
    </w:p>
    <w:p w:rsidR="006D0750" w:rsidRPr="008B7FCB" w:rsidRDefault="006D0750" w:rsidP="006D0750">
      <w:pPr>
        <w:autoSpaceDE w:val="0"/>
        <w:autoSpaceDN w:val="0"/>
        <w:adjustRightInd w:val="0"/>
        <w:spacing w:after="0" w:line="240" w:lineRule="auto"/>
        <w:rPr>
          <w:rFonts w:ascii="Arial" w:hAnsi="Arial" w:cs="Arial"/>
          <w:b/>
          <w:bCs/>
          <w:sz w:val="24"/>
          <w:szCs w:val="24"/>
        </w:rPr>
      </w:pPr>
      <w:r w:rsidRPr="008B7FCB">
        <w:rPr>
          <w:rFonts w:ascii="Arial" w:hAnsi="Arial" w:cs="Arial"/>
          <w:b/>
          <w:bCs/>
          <w:sz w:val="24"/>
          <w:szCs w:val="24"/>
        </w:rPr>
        <w:t>Merkblatt Angebotswertung/Zuschlagskriterien</w:t>
      </w:r>
    </w:p>
    <w:p w:rsidR="006D0750" w:rsidRPr="008B7FCB" w:rsidRDefault="006D0750" w:rsidP="006D0750">
      <w:pPr>
        <w:autoSpaceDE w:val="0"/>
        <w:autoSpaceDN w:val="0"/>
        <w:adjustRightInd w:val="0"/>
        <w:spacing w:after="0" w:line="240" w:lineRule="auto"/>
        <w:rPr>
          <w:rFonts w:ascii="Arial" w:hAnsi="Arial" w:cs="Arial"/>
          <w:b/>
          <w:bCs/>
          <w:sz w:val="24"/>
          <w:szCs w:val="24"/>
        </w:rPr>
      </w:pPr>
    </w:p>
    <w:p w:rsidR="006D0750" w:rsidRPr="008B7FCB" w:rsidRDefault="006D0750" w:rsidP="006D0750">
      <w:pPr>
        <w:autoSpaceDE w:val="0"/>
        <w:autoSpaceDN w:val="0"/>
        <w:adjustRightInd w:val="0"/>
        <w:spacing w:after="0" w:line="240" w:lineRule="auto"/>
        <w:jc w:val="both"/>
        <w:rPr>
          <w:rFonts w:ascii="Arial" w:hAnsi="Arial" w:cs="Arial"/>
        </w:rPr>
      </w:pPr>
      <w:r w:rsidRPr="008B7FCB">
        <w:rPr>
          <w:rFonts w:ascii="Arial" w:hAnsi="Arial" w:cs="Arial"/>
        </w:rPr>
        <w:t xml:space="preserve">Der Zuschlag wird auf das wirtschaftlichste Angebot erteilt. Unter mehreren gleich wirtschaftlichen Angeboten (identischer Angebotswertungspreis) entscheidet ein Losverfahren. </w:t>
      </w:r>
    </w:p>
    <w:p w:rsidR="006D0750" w:rsidRPr="008B7FCB" w:rsidRDefault="006D0750" w:rsidP="006D0750">
      <w:pPr>
        <w:autoSpaceDE w:val="0"/>
        <w:autoSpaceDN w:val="0"/>
        <w:adjustRightInd w:val="0"/>
        <w:spacing w:after="0" w:line="240" w:lineRule="auto"/>
        <w:jc w:val="both"/>
        <w:rPr>
          <w:rFonts w:ascii="Arial" w:hAnsi="Arial" w:cs="Arial"/>
        </w:rPr>
      </w:pPr>
    </w:p>
    <w:p w:rsidR="006D0750" w:rsidRPr="008B7FCB" w:rsidRDefault="006D0750" w:rsidP="006D0750">
      <w:pPr>
        <w:autoSpaceDE w:val="0"/>
        <w:autoSpaceDN w:val="0"/>
        <w:adjustRightInd w:val="0"/>
        <w:spacing w:after="0" w:line="240" w:lineRule="auto"/>
        <w:jc w:val="both"/>
        <w:rPr>
          <w:rFonts w:ascii="Arial" w:hAnsi="Arial" w:cs="Arial"/>
        </w:rPr>
      </w:pPr>
      <w:r w:rsidRPr="008B7FCB">
        <w:rPr>
          <w:rFonts w:ascii="Arial" w:hAnsi="Arial" w:cs="Arial"/>
        </w:rPr>
        <w:t>Das wirtschaftlichste Angebot ist jenes mit dem niedrigsten Angebotspreis wie es sich aus den Eintragungen im Preisblatt ergibt. Für die Wertung werden die prognostizierten Mengenangaben berücksichtigt, die im Preisblatt vorgegeben sind. Zu Wertungszwecken wird der Zeitraum von einem Kalenderjahr betrachtet.</w:t>
      </w:r>
    </w:p>
    <w:p w:rsidR="006D0750" w:rsidRPr="008B7FCB" w:rsidRDefault="006D0750" w:rsidP="006D0750">
      <w:pPr>
        <w:autoSpaceDE w:val="0"/>
        <w:autoSpaceDN w:val="0"/>
        <w:adjustRightInd w:val="0"/>
        <w:spacing w:after="0" w:line="240" w:lineRule="auto"/>
        <w:jc w:val="both"/>
        <w:rPr>
          <w:rFonts w:ascii="Arial" w:hAnsi="Arial" w:cs="Arial"/>
        </w:rPr>
      </w:pPr>
    </w:p>
    <w:p w:rsidR="00593B3E" w:rsidRDefault="006D0750" w:rsidP="006D0750">
      <w:pPr>
        <w:autoSpaceDE w:val="0"/>
        <w:autoSpaceDN w:val="0"/>
        <w:adjustRightInd w:val="0"/>
        <w:spacing w:after="0" w:line="240" w:lineRule="auto"/>
        <w:jc w:val="both"/>
        <w:rPr>
          <w:rFonts w:ascii="Arial" w:hAnsi="Arial" w:cs="Arial"/>
        </w:rPr>
      </w:pPr>
      <w:r w:rsidRPr="008B7FCB">
        <w:rPr>
          <w:rFonts w:ascii="Arial" w:hAnsi="Arial" w:cs="Arial"/>
        </w:rPr>
        <w:t xml:space="preserve">Für die Wertung der Position zur Verwertung von Altholz der Kategorien A I bis III wird zu Wertungszwecken für den zu betrachtenden Zeitraum ein entsprechender von der EUWID Europäischer Wirtschaftsdienst GmbH veröffentlichter oberer EUWID Wert für die Verwertung von behandeltem Altholz, vorgebrochen (0-300 mm), für die Region Süden von </w:t>
      </w:r>
      <w:r w:rsidR="00F36AA1">
        <w:rPr>
          <w:rFonts w:ascii="Arial" w:hAnsi="Arial" w:cs="Arial"/>
        </w:rPr>
        <w:t>-</w:t>
      </w:r>
      <w:bookmarkStart w:id="0" w:name="_GoBack"/>
      <w:bookmarkEnd w:id="0"/>
      <w:r w:rsidRPr="008B7FCB">
        <w:rPr>
          <w:rFonts w:ascii="Arial" w:hAnsi="Arial" w:cs="Arial"/>
        </w:rPr>
        <w:t>25,00 EURO pro Mg unterstellt (Stand April 2026</w:t>
      </w:r>
      <w:r w:rsidR="00593B3E">
        <w:rPr>
          <w:rFonts w:ascii="Arial" w:hAnsi="Arial" w:cs="Arial"/>
        </w:rPr>
        <w:t>).</w:t>
      </w:r>
      <w:r w:rsidRPr="008B7FCB">
        <w:rPr>
          <w:rFonts w:ascii="Arial" w:hAnsi="Arial" w:cs="Arial"/>
        </w:rPr>
        <w:t xml:space="preserve"> </w:t>
      </w:r>
    </w:p>
    <w:p w:rsidR="00593B3E" w:rsidRDefault="00593B3E" w:rsidP="006D0750">
      <w:pPr>
        <w:autoSpaceDE w:val="0"/>
        <w:autoSpaceDN w:val="0"/>
        <w:adjustRightInd w:val="0"/>
        <w:spacing w:after="0" w:line="240" w:lineRule="auto"/>
        <w:jc w:val="both"/>
        <w:rPr>
          <w:rFonts w:ascii="Arial" w:hAnsi="Arial" w:cs="Arial"/>
        </w:rPr>
      </w:pPr>
    </w:p>
    <w:p w:rsidR="00593B3E" w:rsidRDefault="006D0750" w:rsidP="006D0750">
      <w:pPr>
        <w:autoSpaceDE w:val="0"/>
        <w:autoSpaceDN w:val="0"/>
        <w:adjustRightInd w:val="0"/>
        <w:spacing w:after="0" w:line="240" w:lineRule="auto"/>
        <w:jc w:val="both"/>
        <w:rPr>
          <w:rFonts w:ascii="Arial" w:hAnsi="Arial" w:cs="Arial"/>
        </w:rPr>
      </w:pPr>
      <w:r w:rsidRPr="008B7FCB">
        <w:rPr>
          <w:rFonts w:ascii="Arial" w:hAnsi="Arial" w:cs="Arial"/>
        </w:rPr>
        <w:t>Der AN hat in seinem Angebot ebenfalls eine eigens zu wählende Übernahme- bzw. Abladestelle im Preisblatt verbindlich zu benennen. Für die durch den AN bereitzustellende Übernahme bzw. Abladestelle muss ein Standort gewählt bzw. zur Verfügung gestellt werden</w:t>
      </w:r>
      <w:r w:rsidR="00593B3E">
        <w:rPr>
          <w:rFonts w:ascii="Arial" w:hAnsi="Arial" w:cs="Arial"/>
        </w:rPr>
        <w:t>.</w:t>
      </w:r>
      <w:r w:rsidRPr="008B7FCB">
        <w:rPr>
          <w:rFonts w:ascii="Arial" w:hAnsi="Arial" w:cs="Arial"/>
        </w:rPr>
        <w:t xml:space="preserve"> </w:t>
      </w:r>
    </w:p>
    <w:p w:rsidR="007C2A5C" w:rsidRDefault="002D5E9E" w:rsidP="006D0750">
      <w:pPr>
        <w:autoSpaceDE w:val="0"/>
        <w:autoSpaceDN w:val="0"/>
        <w:adjustRightInd w:val="0"/>
        <w:spacing w:after="0" w:line="240" w:lineRule="auto"/>
        <w:jc w:val="both"/>
        <w:rPr>
          <w:rFonts w:ascii="Arial" w:hAnsi="Arial" w:cs="Arial"/>
        </w:rPr>
      </w:pPr>
      <w:r>
        <w:rPr>
          <w:rFonts w:ascii="Arial" w:hAnsi="Arial" w:cs="Arial"/>
        </w:rPr>
        <w:t>(siehe Anlage 1)</w:t>
      </w:r>
    </w:p>
    <w:p w:rsidR="00593B3E" w:rsidRDefault="00593B3E" w:rsidP="006D0750">
      <w:pPr>
        <w:autoSpaceDE w:val="0"/>
        <w:autoSpaceDN w:val="0"/>
        <w:adjustRightInd w:val="0"/>
        <w:spacing w:after="0" w:line="240" w:lineRule="auto"/>
        <w:jc w:val="both"/>
        <w:rPr>
          <w:rFonts w:ascii="Arial" w:hAnsi="Arial" w:cs="Arial"/>
        </w:rPr>
      </w:pPr>
    </w:p>
    <w:p w:rsidR="006D0750" w:rsidRPr="008B7FCB" w:rsidRDefault="006D0750" w:rsidP="006D0750">
      <w:pPr>
        <w:autoSpaceDE w:val="0"/>
        <w:autoSpaceDN w:val="0"/>
        <w:adjustRightInd w:val="0"/>
        <w:spacing w:after="0" w:line="240" w:lineRule="auto"/>
        <w:jc w:val="both"/>
        <w:rPr>
          <w:rFonts w:ascii="Arial" w:hAnsi="Arial" w:cs="Arial"/>
        </w:rPr>
      </w:pPr>
      <w:r w:rsidRPr="008B7FCB">
        <w:rPr>
          <w:rFonts w:ascii="Arial" w:hAnsi="Arial" w:cs="Arial"/>
        </w:rPr>
        <w:t>Eine außerhalb der Raumschaft befindliche Übernahme- bzw. Abladestelle darf vom AN für die Erbringung seiner Leistung nicht benannt und eingesetzt werden. Gibt der AN dennoch eine außerhalb der Raumschaft befindliche Übernahme bzw. Abladestelle an, führt dies zum Ausschluss seines Angebots.</w:t>
      </w:r>
      <w:r w:rsidR="002D5E9E">
        <w:rPr>
          <w:rFonts w:ascii="Arial" w:hAnsi="Arial" w:cs="Arial"/>
        </w:rPr>
        <w:t xml:space="preserve"> (siehe Anlage 1)</w:t>
      </w:r>
    </w:p>
    <w:p w:rsidR="006D0750" w:rsidRPr="008B7FCB" w:rsidRDefault="006D0750" w:rsidP="006D0750">
      <w:pPr>
        <w:autoSpaceDE w:val="0"/>
        <w:autoSpaceDN w:val="0"/>
        <w:adjustRightInd w:val="0"/>
        <w:spacing w:after="0" w:line="240" w:lineRule="auto"/>
        <w:rPr>
          <w:rFonts w:ascii="Arial" w:hAnsi="Arial" w:cs="Arial"/>
        </w:rPr>
      </w:pPr>
    </w:p>
    <w:p w:rsidR="001C7CCA" w:rsidRPr="006D0750" w:rsidRDefault="00F36AA1" w:rsidP="006D0750">
      <w:pPr>
        <w:autoSpaceDE w:val="0"/>
        <w:autoSpaceDN w:val="0"/>
        <w:adjustRightInd w:val="0"/>
        <w:spacing w:after="0" w:line="240" w:lineRule="auto"/>
        <w:jc w:val="both"/>
        <w:rPr>
          <w:rFonts w:ascii="Corbel" w:hAnsi="Corbel" w:cs="Corbel"/>
        </w:rPr>
      </w:pPr>
    </w:p>
    <w:sectPr w:rsidR="001C7CCA" w:rsidRPr="006D075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750"/>
    <w:rsid w:val="000D1935"/>
    <w:rsid w:val="001A0AEB"/>
    <w:rsid w:val="002D5E9E"/>
    <w:rsid w:val="00526880"/>
    <w:rsid w:val="00593B3E"/>
    <w:rsid w:val="006D0750"/>
    <w:rsid w:val="00702630"/>
    <w:rsid w:val="007C2A5C"/>
    <w:rsid w:val="008B7FCB"/>
    <w:rsid w:val="00A42174"/>
    <w:rsid w:val="00B0374C"/>
    <w:rsid w:val="00B57FB5"/>
    <w:rsid w:val="00BE4B9F"/>
    <w:rsid w:val="00F36AA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B84E8"/>
  <w15:chartTrackingRefBased/>
  <w15:docId w15:val="{FF761D03-02E5-46AC-90F1-D026C1FE9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312</Words>
  <Characters>1971</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Adams</dc:creator>
  <cp:keywords/>
  <dc:description/>
  <cp:lastModifiedBy>Bienia (EWF)</cp:lastModifiedBy>
  <cp:revision>6</cp:revision>
  <dcterms:created xsi:type="dcterms:W3CDTF">2026-07-28T05:32:00Z</dcterms:created>
  <dcterms:modified xsi:type="dcterms:W3CDTF">2026-10-22T06:42:00Z</dcterms:modified>
</cp:coreProperties>
</file>